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техническим вопросам –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</w:t>
      </w:r>
      <w:r>
        <w:rPr>
          <w:rFonts w:ascii="Times New Roman" w:hAnsi="Times New Roman"/>
          <w:sz w:val="26"/>
          <w:szCs w:val="26"/>
        </w:rPr>
        <w:t xml:space="preserve">А.И. Таранков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ind w:left="5102" w:righ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________________2026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5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60"/>
        <w:jc w:val="center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ТЕХНИЧЕСКОЕ ЗАДАНИЕ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jc w:val="center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на </w:t>
      </w:r>
      <w:r>
        <w:rPr>
          <w:rFonts w:ascii="Tinos" w:hAnsi="Tinos" w:eastAsia="Tinos" w:cs="Tinos"/>
          <w:sz w:val="24"/>
          <w:szCs w:val="24"/>
        </w:rPr>
        <w:t xml:space="preserve">поставку</w:t>
      </w:r>
      <w:r>
        <w:rPr>
          <w:rFonts w:ascii="Tinos" w:hAnsi="Tinos" w:eastAsia="Tinos" w:cs="Tinos"/>
          <w:sz w:val="24"/>
          <w:szCs w:val="24"/>
        </w:rPr>
        <w:t xml:space="preserve"> спецодежды для защиты от механических воздействий</w:t>
      </w:r>
      <w:r>
        <w:rPr>
          <w:rFonts w:ascii="Tinos" w:hAnsi="Tinos" w:eastAsia="Tinos" w:cs="Tinos"/>
          <w:sz w:val="24"/>
          <w:szCs w:val="24"/>
        </w:rPr>
        <w:t xml:space="preserve">: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порезов, в том числе ручной цепной пилой</w:t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60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1. Общие положения.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1.1 Заказчик: АО «</w:t>
      </w:r>
      <w:r>
        <w:rPr>
          <w:rFonts w:ascii="Tinos" w:hAnsi="Tinos" w:eastAsia="Tinos" w:cs="Tinos"/>
          <w:sz w:val="24"/>
          <w:szCs w:val="24"/>
        </w:rPr>
        <w:t xml:space="preserve">Россети Сибирь </w:t>
      </w:r>
      <w:r>
        <w:rPr>
          <w:rFonts w:ascii="Tinos" w:hAnsi="Tinos" w:eastAsia="Tinos" w:cs="Tinos"/>
          <w:sz w:val="24"/>
          <w:szCs w:val="24"/>
        </w:rPr>
        <w:t xml:space="preserve">Тываэнерго»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1.2 Предмет закупки: поставка </w:t>
      </w:r>
      <w:r>
        <w:rPr>
          <w:rFonts w:ascii="Tinos" w:hAnsi="Tinos" w:eastAsia="Tinos" w:cs="Tinos"/>
          <w:sz w:val="24"/>
          <w:szCs w:val="24"/>
        </w:rPr>
        <w:t xml:space="preserve">спецодежды для защиты от механических воздействий</w:t>
      </w:r>
      <w:r>
        <w:rPr>
          <w:rFonts w:ascii="Tinos" w:hAnsi="Tinos" w:eastAsia="Tinos" w:cs="Tinos"/>
          <w:sz w:val="24"/>
          <w:szCs w:val="24"/>
        </w:rPr>
        <w:t xml:space="preserve">: порезов, в том числе ручной цепной пилой.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2. Место, срок и условия поставки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2.1 Место поставки: АО «Россети Сибирь Тываэнерго» Республика Тыва г. Кызыл, ул. Колхозная, 2</w:t>
      </w:r>
      <w:r>
        <w:rPr>
          <w:rFonts w:ascii="Tinos" w:hAnsi="Tinos" w:eastAsia="Tinos" w:cs="Tinos"/>
          <w:sz w:val="24"/>
          <w:szCs w:val="24"/>
        </w:rPr>
        <w:t xml:space="preserve">б</w:t>
      </w:r>
      <w:r>
        <w:rPr>
          <w:rFonts w:ascii="Tinos" w:hAnsi="Tinos" w:eastAsia="Tinos" w:cs="Tinos"/>
          <w:sz w:val="24"/>
          <w:szCs w:val="24"/>
        </w:rPr>
        <w:t xml:space="preserve"> Центральный склад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contextualSpacing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2.2 Поставка продукции осуществляется </w:t>
      </w:r>
      <w:r>
        <w:rPr>
          <w:rFonts w:ascii="Tinos" w:hAnsi="Tinos" w:eastAsia="Tinos" w:cs="Tinos"/>
          <w:sz w:val="24"/>
          <w:szCs w:val="24"/>
        </w:rPr>
        <w:t xml:space="preserve">до места поставки силами и средствами поставщика.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contextualSpacing/>
        <w:ind w:firstLine="709"/>
        <w:jc w:val="both"/>
        <w:spacing w:before="0" w:beforeAutospacing="0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</w:t>
      </w:r>
      <w:r>
        <w:rPr>
          <w:rFonts w:ascii="Tinos" w:hAnsi="Tinos" w:eastAsia="Tinos" w:cs="Tinos"/>
          <w:sz w:val="24"/>
          <w:szCs w:val="24"/>
        </w:rPr>
        <w:t xml:space="preserve">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2.3 Срок поставки:</w:t>
      </w:r>
      <w:r>
        <w:rPr>
          <w:rFonts w:ascii="Tinos" w:hAnsi="Tinos" w:eastAsia="Tinos" w:cs="Tinos"/>
          <w:sz w:val="24"/>
          <w:szCs w:val="24"/>
        </w:rPr>
        <w:t xml:space="preserve"> в течение 45 календарных дней с даты заключения договора.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7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3. 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Цена, перечень и объемы поставки Продукции</w:t>
      </w:r>
      <w:r>
        <w:rPr>
          <w:rFonts w:ascii="Tinos" w:hAnsi="Tinos" w:eastAsia="Tinos" w:cs="Tinos"/>
          <w:b/>
          <w:bCs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3.1. Перечень и объемы поставляемой продукции указаны в приложении №1 к настоящему техническому заданию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3.2. Информация о размерных рядах продукции, имеющей соответствующий параметр, устанавливается Договором поставки на основании потребности Заказчика.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3.</w:t>
      </w:r>
      <w:r>
        <w:rPr>
          <w:rFonts w:ascii="Tinos" w:hAnsi="Tinos" w:eastAsia="Tinos" w:cs="Tinos"/>
          <w:sz w:val="24"/>
          <w:szCs w:val="24"/>
        </w:rPr>
        <w:t xml:space="preserve">3</w:t>
      </w:r>
      <w:r>
        <w:rPr>
          <w:rFonts w:ascii="Tinos" w:hAnsi="Tinos" w:eastAsia="Tinos" w:cs="Tinos"/>
          <w:sz w:val="24"/>
          <w:szCs w:val="24"/>
        </w:rPr>
        <w:t xml:space="preserve">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 включены в стоимость заявки/предложения участника.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60"/>
        <w:ind w:firstLine="568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   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4. Общие технические требования к поставляемой продукции.</w:t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4.1. </w:t>
      </w:r>
      <w:r>
        <w:rPr>
          <w:rFonts w:ascii="Tinos" w:hAnsi="Tinos" w:eastAsia="Tinos" w:cs="Tinos"/>
          <w:sz w:val="24"/>
          <w:szCs w:val="24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4.2.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3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Поставляемая </w:t>
      </w:r>
      <w:r>
        <w:rPr>
          <w:rFonts w:ascii="Tinos" w:hAnsi="Tinos" w:eastAsia="Tinos" w:cs="Tinos"/>
          <w:sz w:val="24"/>
          <w:szCs w:val="24"/>
        </w:rPr>
        <w:t xml:space="preserve">продукция должна соответствовать требованиям</w:t>
      </w:r>
      <w:r>
        <w:rPr>
          <w:rFonts w:ascii="Tinos" w:hAnsi="Tinos" w:eastAsia="Tinos" w:cs="Tinos"/>
          <w:sz w:val="24"/>
          <w:szCs w:val="24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4</w:t>
      </w:r>
      <w:r>
        <w:rPr>
          <w:rFonts w:ascii="Tinos" w:hAnsi="Tinos" w:eastAsia="Tinos" w:cs="Tinos"/>
          <w:sz w:val="24"/>
          <w:szCs w:val="24"/>
        </w:rPr>
        <w:t xml:space="preserve">. Продукция</w:t>
      </w:r>
      <w:r>
        <w:rPr>
          <w:rFonts w:ascii="Tinos" w:hAnsi="Tinos" w:eastAsia="Tinos" w:cs="Tinos"/>
          <w:sz w:val="24"/>
          <w:szCs w:val="24"/>
        </w:rPr>
        <w:t xml:space="preserve">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внесенная в Единый перечень продукции, подлежащей обязательной сертификации </w:t>
      </w:r>
      <w:r>
        <w:rPr>
          <w:rFonts w:ascii="Tinos" w:hAnsi="Tinos" w:eastAsia="Tinos" w:cs="Tinos"/>
          <w:sz w:val="24"/>
          <w:szCs w:val="24"/>
        </w:rPr>
        <w:t xml:space="preserve">должна иметь сертификаты соответствия </w:t>
      </w:r>
      <w:r>
        <w:rPr>
          <w:rFonts w:ascii="Tinos" w:hAnsi="Tinos" w:eastAsia="Tinos" w:cs="Tinos"/>
          <w:sz w:val="24"/>
          <w:szCs w:val="24"/>
        </w:rPr>
        <w:t xml:space="preserve">ГОСТ Р.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4.5. </w:t>
      </w:r>
      <w:r>
        <w:rPr>
          <w:rFonts w:ascii="Tinos" w:hAnsi="Tinos" w:eastAsia="Tinos" w:cs="Tinos"/>
          <w:sz w:val="24"/>
          <w:szCs w:val="24"/>
        </w:rPr>
        <w:t xml:space="preserve">Продукция должна иметь иные </w:t>
      </w:r>
      <w:r>
        <w:rPr>
          <w:rFonts w:ascii="Tinos" w:hAnsi="Tinos" w:eastAsia="Tinos" w:cs="Tinos"/>
          <w:sz w:val="24"/>
          <w:szCs w:val="24"/>
        </w:rPr>
        <w:t xml:space="preserve">сертификаты (сертификат соответствия требованиям ТР ТС 019/2011).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i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4.</w:t>
      </w:r>
      <w:r>
        <w:rPr>
          <w:rFonts w:ascii="Tinos" w:hAnsi="Tinos" w:eastAsia="Tinos" w:cs="Tinos"/>
          <w:sz w:val="24"/>
          <w:szCs w:val="24"/>
        </w:rPr>
        <w:t xml:space="preserve">6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Продукция должна снабжаться идентифицирующей и информационной м</w:t>
      </w:r>
      <w:r>
        <w:rPr>
          <w:rFonts w:ascii="Tinos" w:hAnsi="Tinos" w:eastAsia="Tinos" w:cs="Tinos"/>
          <w:sz w:val="24"/>
          <w:szCs w:val="24"/>
        </w:rPr>
        <w:t xml:space="preserve">аркировк</w:t>
      </w:r>
      <w:r>
        <w:rPr>
          <w:rFonts w:ascii="Tinos" w:hAnsi="Tinos" w:eastAsia="Tinos" w:cs="Tinos"/>
          <w:sz w:val="24"/>
          <w:szCs w:val="24"/>
        </w:rPr>
        <w:t xml:space="preserve">ой, обеспечивающей потребителя полной информацией о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продукции</w:t>
      </w:r>
      <w:r>
        <w:rPr>
          <w:rFonts w:ascii="Tinos" w:hAnsi="Tinos" w:eastAsia="Tinos" w:cs="Tinos"/>
          <w:sz w:val="24"/>
          <w:szCs w:val="24"/>
        </w:rPr>
        <w:t xml:space="preserve"> (</w:t>
      </w:r>
      <w:r>
        <w:rPr>
          <w:rFonts w:ascii="Tinos" w:hAnsi="Tinos" w:eastAsia="Tinos" w:cs="Tinos"/>
          <w:sz w:val="24"/>
          <w:szCs w:val="24"/>
        </w:rPr>
        <w:t xml:space="preserve">иметь четкие обозначения изготовителя, номера партии и даты изготовления</w:t>
      </w:r>
      <w:r>
        <w:rPr>
          <w:rFonts w:ascii="Tinos" w:hAnsi="Tinos" w:eastAsia="Tinos" w:cs="Tinos"/>
          <w:sz w:val="24"/>
          <w:szCs w:val="24"/>
        </w:rPr>
        <w:t xml:space="preserve"> и т.д.)</w:t>
      </w:r>
      <w:r>
        <w:rPr>
          <w:rFonts w:ascii="Tinos" w:hAnsi="Tinos" w:eastAsia="Tinos" w:cs="Tinos"/>
          <w:i/>
          <w:sz w:val="24"/>
          <w:szCs w:val="24"/>
        </w:rPr>
        <w:t xml:space="preserve">.</w:t>
      </w:r>
      <w:r>
        <w:rPr>
          <w:rFonts w:ascii="Tinos" w:hAnsi="Tinos" w:eastAsia="Tinos" w:cs="Tinos"/>
          <w:i/>
          <w:sz w:val="24"/>
          <w:szCs w:val="24"/>
        </w:rPr>
      </w:r>
      <w:r>
        <w:rPr>
          <w:rFonts w:ascii="Tinos" w:hAnsi="Tinos" w:cs="Tinos"/>
          <w:i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Маркировка должна располагаться на продукции или на ее упаковке,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состоять из общепринятых знаков и символов, описательная часть </w:t>
      </w:r>
      <w:r>
        <w:rPr>
          <w:rFonts w:ascii="Tinos" w:hAnsi="Tinos" w:eastAsia="Tinos" w:cs="Tinos"/>
          <w:sz w:val="24"/>
          <w:szCs w:val="24"/>
        </w:rPr>
        <w:t xml:space="preserve">выполняться на русском языке, иметь четкие обозначения</w:t>
      </w:r>
      <w:r>
        <w:rPr>
          <w:rFonts w:ascii="Tinos" w:hAnsi="Tinos" w:eastAsia="Tinos" w:cs="Tinos"/>
          <w:sz w:val="24"/>
          <w:szCs w:val="24"/>
        </w:rPr>
        <w:t xml:space="preserve"> и сохраняться на весь срок службы поставляемой продукции.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sz w:val="24"/>
          <w:szCs w:val="24"/>
        </w:rPr>
        <w:t xml:space="preserve">4.7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before="0" w:beforeAutospacing="0"/>
        <w:rPr>
          <w:rFonts w:ascii="Tinos" w:hAnsi="Tinos" w:cs="Tinos"/>
          <w:sz w:val="24"/>
          <w:szCs w:val="24"/>
          <w:highlight w:val="none"/>
        </w:rPr>
      </w:pPr>
      <w:r>
        <w:rPr>
          <w:rFonts w:ascii="Tinos" w:hAnsi="Tinos" w:eastAsia="Tinos" w:cs="Tinos"/>
          <w:b/>
          <w:bCs/>
          <w:sz w:val="24"/>
          <w:szCs w:val="24"/>
          <w:highlight w:val="none"/>
        </w:rPr>
        <w:t xml:space="preserve">5. </w:t>
      </w:r>
      <w:r>
        <w:rPr>
          <w:rFonts w:ascii="Tinos" w:hAnsi="Tinos" w:eastAsia="Tinos" w:cs="Tinos"/>
          <w:b/>
          <w:bCs/>
          <w:color w:val="000000"/>
          <w:sz w:val="24"/>
          <w:szCs w:val="24"/>
          <w:lang w:eastAsia="ru-RU"/>
        </w:rPr>
        <w:t xml:space="preserve">Требования к объему документации, предоставляемой участником закупок для оценки предложения по лоту.</w:t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5.</w:t>
      </w:r>
      <w:r>
        <w:rPr>
          <w:rFonts w:ascii="Tinos" w:hAnsi="Tinos" w:eastAsia="Tinos" w:cs="Tinos"/>
          <w:sz w:val="24"/>
          <w:szCs w:val="24"/>
        </w:rPr>
        <w:t xml:space="preserve">1</w:t>
      </w:r>
      <w:r>
        <w:rPr>
          <w:rFonts w:ascii="Tinos" w:hAnsi="Tinos" w:eastAsia="Tinos" w:cs="Tinos"/>
          <w:sz w:val="24"/>
          <w:szCs w:val="24"/>
        </w:rPr>
        <w:t xml:space="preserve">. </w:t>
      </w:r>
      <w:r>
        <w:rPr>
          <w:rFonts w:ascii="Tinos" w:hAnsi="Tinos" w:eastAsia="Tinos" w:cs="Tinos"/>
          <w:sz w:val="24"/>
          <w:szCs w:val="24"/>
        </w:rPr>
        <w:t xml:space="preserve">Российские сертификаты (декларации/свидетельства) соответствия согласно пункту 4.5 настоящего ТЗ</w:t>
      </w:r>
      <w:r>
        <w:rPr>
          <w:rFonts w:ascii="Tinos" w:hAnsi="Tinos" w:eastAsia="Tinos" w:cs="Tinos"/>
          <w:sz w:val="24"/>
          <w:szCs w:val="24"/>
          <w:highlight w:val="none"/>
        </w:rPr>
        <w:t xml:space="preserve">.</w:t>
      </w:r>
      <w:r>
        <w:rPr>
          <w:rFonts w:ascii="Tinos" w:hAnsi="Tinos" w:eastAsia="Tinos" w:cs="Tinos"/>
          <w:sz w:val="24"/>
          <w:szCs w:val="24"/>
          <w:highlight w:val="none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b/>
          <w:sz w:val="24"/>
          <w:szCs w:val="24"/>
        </w:rPr>
      </w:pPr>
      <w:r>
        <w:rPr>
          <w:rFonts w:ascii="Tinos" w:hAnsi="Tinos" w:eastAsia="Tinos" w:cs="Tinos"/>
          <w:b/>
          <w:sz w:val="24"/>
          <w:szCs w:val="24"/>
        </w:rPr>
        <w:t xml:space="preserve">6. Гарантийные обязательства. </w:t>
      </w:r>
      <w:r>
        <w:rPr>
          <w:rFonts w:ascii="Tinos" w:hAnsi="Tinos" w:eastAsia="Tinos" w:cs="Tinos"/>
          <w:b/>
          <w:sz w:val="24"/>
          <w:szCs w:val="24"/>
        </w:rPr>
      </w:r>
      <w:r>
        <w:rPr>
          <w:rFonts w:ascii="Tinos" w:hAnsi="Tinos" w:cs="Tinos"/>
          <w:b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6.1. </w:t>
      </w:r>
      <w:r>
        <w:rPr>
          <w:rFonts w:ascii="Tinos" w:hAnsi="Tinos" w:eastAsia="Tinos" w:cs="Tinos"/>
          <w:sz w:val="24"/>
          <w:szCs w:val="24"/>
        </w:rPr>
        <w:t xml:space="preserve">Срок гарантии на поставляемые материалы должен быть не менее </w:t>
      </w:r>
      <w:r>
        <w:rPr>
          <w:rFonts w:ascii="Tinos" w:hAnsi="Tinos" w:eastAsia="Tinos" w:cs="Tinos"/>
          <w:sz w:val="24"/>
          <w:szCs w:val="24"/>
        </w:rPr>
        <w:t xml:space="preserve">24 месяцев</w:t>
      </w:r>
      <w:r>
        <w:rPr>
          <w:rFonts w:ascii="Tinos" w:hAnsi="Tinos" w:eastAsia="Tinos" w:cs="Tinos"/>
          <w:sz w:val="24"/>
          <w:szCs w:val="24"/>
        </w:rPr>
        <w:t xml:space="preserve">. Время начала исчисления гарантийного срока – с момента поставки продукции на склад Заказчика.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</w:t>
      </w:r>
      <w:r>
        <w:rPr>
          <w:rFonts w:ascii="Tinos" w:hAnsi="Tinos" w:eastAsia="Tinos" w:cs="Tinos"/>
          <w:sz w:val="24"/>
          <w:szCs w:val="24"/>
        </w:rPr>
        <w:t xml:space="preserve"> на период устранения дефектов (п</w:t>
      </w:r>
      <w:r>
        <w:rPr>
          <w:rFonts w:ascii="Tinos" w:hAnsi="Tinos" w:eastAsia="Tinos" w:cs="Tinos"/>
          <w:sz w:val="24"/>
          <w:szCs w:val="24"/>
        </w:rPr>
        <w:t xml:space="preserve">оставщик гарантирует, что характеристи</w:t>
      </w:r>
      <w:r>
        <w:rPr>
          <w:rFonts w:ascii="Tinos" w:hAnsi="Tinos" w:eastAsia="Tinos" w:cs="Tinos"/>
          <w:sz w:val="24"/>
          <w:szCs w:val="24"/>
        </w:rPr>
        <w:t xml:space="preserve">ки поставляемого товара, соответствуют характеристикам, установленным в ТЗ,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Заказчик</w:t>
      </w:r>
      <w:r>
        <w:rPr>
          <w:rFonts w:ascii="Tinos" w:hAnsi="Tinos" w:eastAsia="Tinos" w:cs="Tinos"/>
          <w:sz w:val="24"/>
          <w:szCs w:val="24"/>
        </w:rPr>
        <w:t xml:space="preserve">а Поставщик обязан в течение 3 (трех) рабочих дней представить Заказчику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  <w:t xml:space="preserve">Заказчик вправе провести соответствующую то</w:t>
      </w:r>
      <w:r>
        <w:rPr>
          <w:rFonts w:ascii="Tinos" w:hAnsi="Tinos" w:eastAsia="Tinos" w:cs="Tinos"/>
          <w:sz w:val="24"/>
          <w:szCs w:val="24"/>
        </w:rPr>
        <w:t xml:space="preserve">варную экспертизу на предмет выявления соответствия скрытых характеристик контрольных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</w:t>
      </w:r>
      <w:r>
        <w:rPr>
          <w:rFonts w:ascii="Tinos" w:hAnsi="Tinos" w:eastAsia="Tinos" w:cs="Tinos"/>
          <w:sz w:val="24"/>
          <w:szCs w:val="24"/>
        </w:rPr>
        <w:t xml:space="preserve">).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pStyle w:val="907"/>
        <w:ind w:firstLine="568"/>
        <w:jc w:val="both"/>
        <w:spacing w:before="0" w:beforeAutospacing="0"/>
        <w:tabs>
          <w:tab w:val="left" w:pos="0" w:leader="none"/>
        </w:tabs>
        <w:rPr>
          <w:rFonts w:ascii="Tinos" w:hAnsi="Tinos" w:cs="Tinos"/>
          <w:sz w:val="24"/>
          <w:szCs w:val="24"/>
          <w:highlight w:val="yellow"/>
        </w:rPr>
      </w:pPr>
      <w:r>
        <w:rPr>
          <w:rFonts w:ascii="Tinos" w:hAnsi="Tinos" w:eastAsia="Tinos" w:cs="Tinos"/>
          <w:sz w:val="24"/>
          <w:szCs w:val="24"/>
          <w:highlight w:val="yellow"/>
        </w:rPr>
      </w:r>
      <w:r>
        <w:rPr>
          <w:rFonts w:ascii="Tinos" w:hAnsi="Tinos" w:eastAsia="Tinos" w:cs="Tinos"/>
          <w:sz w:val="24"/>
          <w:szCs w:val="24"/>
          <w:highlight w:val="yellow"/>
        </w:rPr>
      </w:r>
      <w:r>
        <w:rPr>
          <w:rFonts w:ascii="Tinos" w:hAnsi="Tinos" w:cs="Tinos"/>
          <w:sz w:val="24"/>
          <w:szCs w:val="24"/>
          <w:highlight w:val="yellow"/>
        </w:rPr>
      </w:r>
    </w:p>
    <w:p>
      <w:pPr>
        <w:pStyle w:val="907"/>
        <w:ind w:firstLine="709"/>
        <w:jc w:val="both"/>
        <w:spacing w:before="0" w:beforeAutospacing="0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7. Правила приемки продукции.</w:t>
      </w:r>
      <w:r>
        <w:rPr>
          <w:rFonts w:ascii="Tinos" w:hAnsi="Tinos" w:eastAsia="Tinos" w:cs="Tinos"/>
          <w:sz w:val="24"/>
          <w:szCs w:val="24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4"/>
          <w:szCs w:val="24"/>
        </w:rPr>
        <w:t xml:space="preserve">Россети</w:t>
      </w:r>
      <w:r>
        <w:rPr>
          <w:rFonts w:ascii="Tinos" w:hAnsi="Tinos" w:eastAsia="Tinos" w:cs="Tinos"/>
          <w:sz w:val="24"/>
          <w:szCs w:val="24"/>
        </w:rPr>
        <w:t xml:space="preserve"> Сибир</w:t>
      </w:r>
      <w:r>
        <w:rPr>
          <w:rFonts w:ascii="Tinos" w:hAnsi="Tinos" w:eastAsia="Tinos" w:cs="Tinos"/>
          <w:sz w:val="24"/>
          <w:szCs w:val="24"/>
        </w:rPr>
        <w:t xml:space="preserve">ь </w:t>
      </w:r>
      <w:r>
        <w:rPr>
          <w:rFonts w:ascii="Tinos" w:hAnsi="Tinos" w:eastAsia="Tinos" w:cs="Tinos"/>
          <w:sz w:val="24"/>
          <w:szCs w:val="24"/>
        </w:rPr>
        <w:t xml:space="preserve">Тываэнерго</w:t>
      </w:r>
      <w:r>
        <w:rPr>
          <w:rFonts w:ascii="Tinos" w:hAnsi="Tinos" w:eastAsia="Tinos" w:cs="Tinos"/>
          <w:sz w:val="24"/>
          <w:szCs w:val="24"/>
        </w:rPr>
        <w:t xml:space="preserve">»</w:t>
      </w:r>
      <w:r>
        <w:rPr>
          <w:rFonts w:ascii="Tinos" w:hAnsi="Tinos" w:eastAsia="Tinos" w:cs="Tinos"/>
          <w:sz w:val="24"/>
          <w:szCs w:val="24"/>
        </w:rPr>
        <w:t xml:space="preserve"> при получении продукции на склад.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Приемка продукции по количеству производится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в соответствии 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При приемке продукции осуществляется: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внешний осмотр тары и упаковки: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4"/>
          <w:szCs w:val="24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;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– </w:t>
      </w:r>
      <w:r>
        <w:rPr>
          <w:rFonts w:ascii="Tinos" w:hAnsi="Tinos" w:eastAsia="Tinos" w:cs="Tinos"/>
          <w:sz w:val="24"/>
          <w:szCs w:val="24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nos" w:hAnsi="Tinos" w:eastAsia="Tinos" w:cs="Tinos"/>
          <w:sz w:val="24"/>
          <w:szCs w:val="24"/>
        </w:rPr>
        <w:t xml:space="preserve">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nos" w:hAnsi="Tinos" w:cs="Tinos"/>
          <w:sz w:val="26"/>
          <w:szCs w:val="26"/>
        </w:rPr>
      </w:pP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eastAsia="Tinos" w:cs="Tinos"/>
          <w:b/>
          <w:bCs/>
          <w:sz w:val="24"/>
          <w:szCs w:val="24"/>
          <w:lang w:eastAsia="ru-RU"/>
        </w:rPr>
        <w:t xml:space="preserve"> </w:t>
      </w:r>
      <w:r>
        <w:rPr>
          <w:rFonts w:ascii="Tinos" w:hAnsi="Tinos" w:eastAsia="Tinos" w:cs="Tinos"/>
          <w:sz w:val="24"/>
          <w:szCs w:val="24"/>
          <w:lang w:eastAsia="ru-RU"/>
        </w:rPr>
        <w:t xml:space="preserve"> </w:t>
      </w:r>
      <w:r>
        <w:rPr>
          <w:rFonts w:ascii="Tinos" w:hAnsi="Tinos" w:cs="Tinos"/>
          <w:sz w:val="26"/>
          <w:szCs w:val="26"/>
        </w:rPr>
      </w:r>
      <w:r>
        <w:rPr>
          <w:rFonts w:ascii="Tinos" w:hAnsi="Tinos" w:cs="Tinos"/>
          <w:sz w:val="26"/>
          <w:szCs w:val="26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УПБиПК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ПАО «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Е.А.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4"/>
                <w:szCs w:val="24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В.В. Жмак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Начальник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ОЛиМТО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АО «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Россети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Сибирь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Тываэнерго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</w:rPr>
              <w:t xml:space="preserve">Эксперт от ИА 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ПАО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«Россети Сибирь»</w:t>
            </w:r>
            <w:r>
              <w:rPr>
                <w:rFonts w:ascii="Tinos" w:hAnsi="Tinos" w:eastAsia="Tinos" w:cs="Tinos"/>
                <w:sz w:val="24"/>
                <w:szCs w:val="24"/>
              </w:rPr>
              <w:t xml:space="preserve"> </w:t>
            </w:r>
            <w:r>
              <w:rPr>
                <w:rFonts w:ascii="Tinos" w:hAnsi="Tinos" w:eastAsia="Tinos" w:cs="Tinos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4"/>
                <w:szCs w:val="24"/>
                <w:lang w:eastAsia="ru-RU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</w:tbl>
    <w:p>
      <w:pPr>
        <w:pStyle w:val="958"/>
        <w:ind w:left="0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0"/>
        <w:jc w:val="both"/>
        <w:rPr>
          <w:rFonts w:ascii="Times New Roman" w:hAnsi="Times New Roman"/>
          <w:sz w:val="24"/>
          <w:szCs w:val="24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07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Приложение № 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7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к техническому заданию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7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7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</w:t>
      </w:r>
      <w:r>
        <w:rPr>
          <w:sz w:val="26"/>
          <w:szCs w:val="26"/>
        </w:rPr>
        <w:t xml:space="preserve">кие характеристики и требования: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17"/>
        <w:gridCol w:w="2835"/>
        <w:gridCol w:w="125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07"/>
              <w:jc w:val="center"/>
              <w:rPr>
                <w:b/>
              </w:rPr>
            </w:pPr>
            <w:r>
              <w:rPr>
                <w:b/>
              </w:rPr>
              <w:t xml:space="preserve">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продукции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07"/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Характеристики, требования и комплектация материалов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1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Костюм от </w:t>
            </w:r>
            <w:r>
              <w:t xml:space="preserve">общих производственных загрязнений</w:t>
            </w:r>
            <w:r>
              <w:t xml:space="preserve">, </w:t>
            </w:r>
            <w:r>
              <w:t xml:space="preserve">механических воздействий</w:t>
            </w:r>
            <w:r>
              <w:t xml:space="preserve"> и порезов </w:t>
            </w:r>
            <w:r>
              <w:t xml:space="preserve">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07"/>
              <w:pBdr>
                <w:left w:val="single" w:color="000000" w:sz="4" w:space="0"/>
              </w:pBdr>
            </w:pPr>
            <w:r>
              <w:t xml:space="preserve">Костюм летний, состоящий из куртки и комбинез</w:t>
            </w:r>
            <w:r>
              <w:t xml:space="preserve">о</w:t>
            </w:r>
            <w:r>
              <w:t xml:space="preserve">на для защиты от общих производственных загря</w:t>
            </w:r>
            <w:r>
              <w:t xml:space="preserve">з</w:t>
            </w:r>
            <w:r>
              <w:t xml:space="preserve">нений, механических воздействий, проколов и пор</w:t>
            </w:r>
            <w:r>
              <w:t xml:space="preserve">е</w:t>
            </w:r>
            <w:r>
              <w:t xml:space="preserve">зов, в том числе ручной цепной пилой (1 класс з</w:t>
            </w:r>
            <w:r>
              <w:t xml:space="preserve">а</w:t>
            </w:r>
            <w:r>
              <w:t xml:space="preserve">щиты (20 м/с). </w:t>
            </w:r>
            <w:r/>
          </w:p>
          <w:p>
            <w:pPr>
              <w:pStyle w:val="907"/>
              <w:pBdr>
                <w:left w:val="single" w:color="000000" w:sz="4" w:space="0"/>
              </w:pBdr>
            </w:pPr>
            <w:r>
              <w:t xml:space="preserve">Максимальный уровень безопасности и комфорта достиг</w:t>
            </w:r>
            <w:r>
              <w:t xml:space="preserve">а</w:t>
            </w:r>
            <w:r>
              <w:t xml:space="preserve">ется сочетанием конструкции костюма, пилостойкого тр</w:t>
            </w:r>
            <w:r>
              <w:t xml:space="preserve">и</w:t>
            </w:r>
            <w:r>
              <w:t xml:space="preserve">котажа и ткани с «биверной» структурой. Костюм соо</w:t>
            </w:r>
            <w:r>
              <w:t xml:space="preserve">т</w:t>
            </w:r>
            <w:r>
              <w:t xml:space="preserve">ветствует европейскому стандарту ГОСТ </w:t>
            </w:r>
            <w:r>
              <w:rPr>
                <w:lang w:val="en-US"/>
              </w:rPr>
              <w:t xml:space="preserve">EN</w:t>
            </w:r>
            <w:r>
              <w:t xml:space="preserve"> 381-1-2014, класс 1, ск</w:t>
            </w:r>
            <w:r>
              <w:t xml:space="preserve">о</w:t>
            </w:r>
            <w:r>
              <w:t xml:space="preserve">рость вращения пилы 20 м/сек.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shd w:val="clear" w:color="auto" w:fill="ffffff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Ткань верха</w:t>
            </w:r>
            <w:r>
              <w:rPr>
                <w:lang w:val="ru-RU"/>
              </w:rPr>
              <w:t xml:space="preserve">, </w:t>
            </w:r>
            <w:r>
              <w:t xml:space="preserve">с</w:t>
            </w:r>
            <w:r>
              <w:t xml:space="preserve">остав: 46% хл / 54% пэ, плотность 260 ±10 гр, отделка НМВО, с биверной структурой пер</w:t>
            </w:r>
            <w:r>
              <w:t xml:space="preserve">е</w:t>
            </w:r>
            <w:r>
              <w:t xml:space="preserve">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</w:t>
            </w:r>
            <w:r>
              <w:rPr>
                <w:shd w:val="clear" w:color="auto" w:fill="ffffff"/>
              </w:rPr>
              <w:t xml:space="preserve">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55% хл / 44% пэ, плотность 249 гр, отделка МВО, </w:t>
            </w:r>
            <w:r>
              <w:t xml:space="preserve">с биве</w:t>
            </w:r>
            <w:r>
              <w:t xml:space="preserve">р</w:t>
            </w:r>
            <w:r>
              <w:t xml:space="preserve">ной структурой переплетения;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«Фореман» смесовая (67% полиэфир, 33% хлопок), пло</w:t>
            </w:r>
            <w:r>
              <w:rPr>
                <w:shd w:val="clear" w:color="auto" w:fill="ffffff"/>
              </w:rPr>
              <w:t xml:space="preserve">т</w:t>
            </w:r>
            <w:r>
              <w:rPr>
                <w:shd w:val="clear" w:color="auto" w:fill="ffffff"/>
              </w:rPr>
              <w:t xml:space="preserve">ность не менее </w:t>
            </w:r>
            <w:r>
              <w:t xml:space="preserve">240 г/кв.м, </w:t>
            </w:r>
            <w:r>
              <w:rPr>
                <w:shd w:val="clear" w:color="auto" w:fill="ffffff"/>
              </w:rPr>
              <w:t xml:space="preserve">отделка МВО, с биверной структурой переплет</w:t>
            </w:r>
            <w:r>
              <w:rPr>
                <w:shd w:val="clear" w:color="auto" w:fill="ffffff"/>
              </w:rPr>
              <w:t xml:space="preserve">е</w:t>
            </w:r>
            <w:r>
              <w:rPr>
                <w:shd w:val="clear" w:color="auto" w:fill="ffffff"/>
              </w:rPr>
              <w:t xml:space="preserve">ния.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Разрывная нагрузка по утку – не менее 600 Н;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Стойкость к истиранию – не менее 7000 циклов;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Изменение линейных размеров после мокрой обработки – не более 1,5%.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Защитный слой – пилостойкий трикотаж «ВУДМАН» л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бо «Avertic»;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Плотность защитного слоя 155-170 г/м</w:t>
            </w:r>
            <w:r>
              <w:rPr>
                <w:vertAlign w:val="superscript"/>
                <w:lang w:val="ru-RU"/>
              </w:rPr>
              <w:t xml:space="preserve">2</w:t>
            </w:r>
            <w:r>
              <w:rPr>
                <w:lang w:val="ru-RU"/>
              </w:rPr>
              <w:t xml:space="preserve">; 5 слоев (</w:t>
            </w:r>
            <w:r>
              <w:rPr>
                <w:lang w:val="en-US"/>
              </w:rPr>
              <w:t xml:space="preserve">EN</w:t>
            </w:r>
            <w:r>
              <w:rPr>
                <w:lang w:val="ru-RU"/>
              </w:rPr>
              <w:t xml:space="preserve"> 381-1-2014, 1 класс защиты)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en-US"/>
              </w:rPr>
              <w:t xml:space="preserve">C</w:t>
            </w:r>
            <w:r>
              <w:rPr>
                <w:lang w:val="ru-RU"/>
              </w:rPr>
              <w:t xml:space="preserve">оответствие ТР ТС 019/2011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  <w:rPr>
                <w:sz w:val="20"/>
                <w:szCs w:val="20"/>
              </w:rPr>
            </w:pPr>
            <w:r>
              <w:t xml:space="preserve">Цвет основной: </w:t>
            </w:r>
            <w:r>
              <w:t xml:space="preserve">черный, серый</w:t>
            </w:r>
            <w:r>
              <w:t xml:space="preserve">, отделочный: </w:t>
            </w:r>
            <w:r>
              <w:t xml:space="preserve">желтый </w:t>
            </w:r>
            <w:r>
              <w:t xml:space="preserve">флуоресцентный. Элемент фирменного стиля: шеврон</w:t>
            </w:r>
            <w: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2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Костюм от ПТ, </w:t>
            </w:r>
            <w:r>
              <w:t xml:space="preserve">общих производственных загрязнений, механических воздействий и порезов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Костюм на утепляющей прокладке (зимний), с</w:t>
            </w:r>
            <w:r>
              <w:t xml:space="preserve">о</w:t>
            </w:r>
            <w:r>
              <w:t xml:space="preserve">стоящий из куртки и комбинезона для защиты от общих производственных загрязнений, механич</w:t>
            </w:r>
            <w:r>
              <w:t xml:space="preserve">е</w:t>
            </w:r>
            <w:r>
              <w:t xml:space="preserve">ских воздействий, проколов и порезов, в том чис-ле ру</w:t>
            </w:r>
            <w:r>
              <w:t xml:space="preserve">ч</w:t>
            </w:r>
            <w:r>
              <w:t xml:space="preserve">ной цепной пилой (1 класс защиты (20 м/с);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Костюм на утепляющей прокладке.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Соответствие </w:t>
            </w:r>
            <w:r>
              <w:rPr>
                <w:lang w:val="en-US"/>
              </w:rPr>
              <w:t xml:space="preserve">IV</w:t>
            </w:r>
            <w:r>
              <w:rPr>
                <w:lang w:val="ru-RU"/>
              </w:rPr>
              <w:t xml:space="preserve"> климатическому поясу, утепленная ве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розащи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ная планка (согласно требованиям Постановления Правительства РФ </w:t>
            </w:r>
            <w:r>
              <w:t xml:space="preserve">от </w:t>
            </w:r>
            <w:r>
              <w:rPr>
                <w:lang w:val="ru-RU"/>
              </w:rPr>
              <w:t xml:space="preserve">16.10.2012 №1055 и ГОСТ 12.4.303-2016).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pBdr>
                <w:left w:val="single" w:color="000000" w:sz="4" w:space="0"/>
              </w:pBdr>
            </w:pPr>
            <w:r>
              <w:t xml:space="preserve">Максимальный уровень безопасности и комфорта достиг</w:t>
            </w:r>
            <w:r>
              <w:t xml:space="preserve">а</w:t>
            </w:r>
            <w:r>
              <w:t xml:space="preserve">ется сочетанием конструкции костюма, пилостойкого тр</w:t>
            </w:r>
            <w:r>
              <w:t xml:space="preserve">и</w:t>
            </w:r>
            <w:r>
              <w:t xml:space="preserve">котажа и ткани с «биверной» структурой. Костюм соо</w:t>
            </w:r>
            <w:r>
              <w:t xml:space="preserve">т</w:t>
            </w:r>
            <w:r>
              <w:t xml:space="preserve">ветствует европейскому стандарту EN 381-1-2014, класс 1, ск</w:t>
            </w:r>
            <w:r>
              <w:t xml:space="preserve">о</w:t>
            </w:r>
            <w:r>
              <w:t xml:space="preserve">рость вращения пилы 20 м/сек.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Ткань верха, </w:t>
            </w:r>
            <w:r>
              <w:t xml:space="preserve">с</w:t>
            </w:r>
            <w:r>
              <w:t xml:space="preserve">остав</w:t>
            </w:r>
            <w:r>
              <w:t xml:space="preserve">: 46% хл / 54% пэ, плотность 260 ±10 гр, отделка НМВО, с биверной структурой пер</w:t>
            </w:r>
            <w:r>
              <w:t xml:space="preserve">е</w:t>
            </w:r>
            <w:r>
              <w:t xml:space="preserve">плетения;</w:t>
            </w:r>
            <w:r/>
          </w:p>
          <w:p>
            <w:pPr>
              <w:pStyle w:val="907"/>
              <w:rPr>
                <w:shd w:val="clear" w:color="auto" w:fill="ffffff"/>
              </w:rPr>
              <w:pBdr>
                <w:left w:val="single" w:color="000000" w:sz="4" w:space="0"/>
              </w:pBdr>
            </w:pPr>
            <w:r>
              <w:rPr>
                <w:shd w:val="clear" w:color="auto" w:fill="ffffff"/>
              </w:rPr>
              <w:t xml:space="preserve">Л</w:t>
            </w:r>
            <w:r>
              <w:rPr>
                <w:shd w:val="clear" w:color="auto" w:fill="ffffff"/>
              </w:rPr>
              <w:t xml:space="preserve">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55% хл / 44% пэ, плотность 249 гр, отделка МВО, </w:t>
            </w:r>
            <w:r>
              <w:t xml:space="preserve">с биве</w:t>
            </w:r>
            <w:r>
              <w:t xml:space="preserve">р</w:t>
            </w:r>
            <w:r>
              <w:t xml:space="preserve">ной структурой переплетения;</w:t>
            </w:r>
            <w:r>
              <w:t xml:space="preserve"> </w:t>
            </w:r>
            <w:r>
              <w:rPr>
                <w:shd w:val="clear" w:color="auto" w:fill="ffffff"/>
              </w:rPr>
              <w:t xml:space="preserve">либо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«Фореман» смесовая (67% полиэфир, 33% хлопок), пло</w:t>
            </w:r>
            <w:r>
              <w:rPr>
                <w:shd w:val="clear" w:color="auto" w:fill="ffffff"/>
              </w:rPr>
              <w:t xml:space="preserve">т</w:t>
            </w:r>
            <w:r>
              <w:rPr>
                <w:shd w:val="clear" w:color="auto" w:fill="ffffff"/>
              </w:rPr>
              <w:t xml:space="preserve">ность не менее </w:t>
            </w:r>
            <w:r>
              <w:t xml:space="preserve">240 г/кв.м, </w:t>
            </w:r>
            <w:r>
              <w:rPr>
                <w:shd w:val="clear" w:color="auto" w:fill="ffffff"/>
              </w:rPr>
              <w:t xml:space="preserve">отделка МВО, с биверной структурой переплет</w:t>
            </w:r>
            <w:r>
              <w:rPr>
                <w:shd w:val="clear" w:color="auto" w:fill="ffffff"/>
              </w:rPr>
              <w:t xml:space="preserve">е</w:t>
            </w:r>
            <w:r>
              <w:rPr>
                <w:shd w:val="clear" w:color="auto" w:fill="ffffff"/>
              </w:rPr>
              <w:t xml:space="preserve">ния.</w:t>
            </w:r>
            <w:r>
              <w:rPr>
                <w:shd w:val="clear" w:color="auto" w:fill="ffffff"/>
              </w:rPr>
            </w:r>
            <w:r>
              <w:rPr>
                <w:shd w:val="clear" w:color="auto" w:fill="ffffff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Разрывная нагрузка по утку – не менее 600 Н;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Стойкость к </w:t>
            </w:r>
            <w:r>
              <w:rPr>
                <w:lang w:val="ru-RU"/>
              </w:rPr>
              <w:t xml:space="preserve">истиранию – не менее 7000 циклов;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Изменение линейных размеров после мокрой обработки – не более 1,5%.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Защитный слой –</w:t>
            </w:r>
            <w:r>
              <w:rPr>
                <w:lang w:val="ru-RU"/>
              </w:rPr>
              <w:t xml:space="preserve"> пилостойкий трикотаж «ВУДМАН» либо «Avertic»;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pBdr>
                <w:left w:val="single" w:color="000000" w:sz="4" w:space="0"/>
              </w:pBd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  <w:rPr>
                <w:highlight w:val="yellow"/>
              </w:rPr>
            </w:pPr>
            <w:r>
              <w:t xml:space="preserve">Соответствие разделу 5.12 Стандарта и ТР ТС 019/2011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pStyle w:val="907"/>
              <w:jc w:val="both"/>
              <w:rPr>
                <w:sz w:val="20"/>
                <w:szCs w:val="20"/>
              </w:rPr>
            </w:pPr>
            <w:r>
              <w:t xml:space="preserve">Цвет основной: </w:t>
            </w:r>
            <w:r>
              <w:t xml:space="preserve">черный, серый</w:t>
            </w:r>
            <w:r>
              <w:t xml:space="preserve">, отделочный: </w:t>
            </w:r>
            <w:r>
              <w:t xml:space="preserve">желтый </w:t>
            </w:r>
            <w:r>
              <w:t xml:space="preserve">флуоресцентный. Элемент фирменного стиля: шеврон</w:t>
            </w:r>
            <w: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3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Сапоги специальные летние для защиты от механических воздействий, ударов, проколов и порезов, в том числе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Сапоги специальные летние для защиты от механических воздействий, ударов, проколов и порезов, в том числе ручной цепной пилой 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Соответствие 1 класс защиты (20м/с));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ударов носочной части МУН - не менее 200 Дж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голеностопного сустава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Высота сапог – не менее 390 мм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t xml:space="preserve">Соответствие разделу 5.4 Стандарта и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4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t xml:space="preserve">Сапоги специальные зимние для защиты от механических воздействий, ударов, проколов и порезов, в том числе ручной цепной пилой </w:t>
            </w:r>
            <w:r/>
          </w:p>
          <w:p>
            <w:pPr>
              <w:pStyle w:val="907"/>
              <w:jc w:val="both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Сапоги специальные зимние для защиты от механических воздействий, ударов, проколов и порезов, в том числе ручной цепной пилой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Утепленная подкладка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Температурный режим использования от -50</w:t>
            </w:r>
            <w:r>
              <w:rPr>
                <w:vertAlign w:val="superscript"/>
                <w:lang w:val="ru-RU"/>
              </w:rPr>
              <w:t xml:space="preserve">0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Отсутствие теплопотерь в заданном диапазоне темпер</w:t>
            </w:r>
            <w:r>
              <w:rPr>
                <w:lang w:val="ru-RU"/>
              </w:rPr>
              <w:t xml:space="preserve">а</w:t>
            </w:r>
            <w:r>
              <w:rPr>
                <w:lang w:val="ru-RU"/>
              </w:rPr>
              <w:t xml:space="preserve">турного использования.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Соответствие 1 класс защиты (20м/с));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ударов носочной части МУН - не менее 200 Дж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голеностопного сустава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Высота сапог – не менее 390 мм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t xml:space="preserve">Соответствие разделу 5.4 Стандарта и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5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Каска защитная с лицевым сетчатым щитком, наушники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Next w:val="0"/>
              <w:spacing w:before="0" w:after="0" w:line="240" w:lineRule="auto"/>
            </w:pPr>
            <w:r>
              <w:t xml:space="preserve">Предназначена для защиты  верхней части головы от механических воздействий. С тканными амортизационными лентами,  в комплекте с подбородочным ремнем и мягким обтюратором. Температурный диапазон от -50°С до +50°С.  </w:t>
            </w:r>
            <w:r/>
          </w:p>
          <w:p>
            <w:pPr>
              <w:pStyle w:val="907"/>
              <w:jc w:val="both"/>
            </w:pPr>
            <w:r>
              <w:t xml:space="preserve">Соответствие разделу 5.7 Стандарта и ГОСТ EN 397-2020, ТР ТС 019/2011.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Щиток защитный лицевой, закрепляемый к защитной ка</w:t>
            </w: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ке, из мелкоячеистой сетки.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Защита от твердых частиц энергией 0,6Дж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t xml:space="preserve">Соответствие ТР ТС 019/2011.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suppressLineNumbers w:val="0"/>
            </w:pPr>
            <w:r>
              <w:rPr>
                <w:lang w:val="ru-RU"/>
              </w:rPr>
              <w:t xml:space="preserve">Наушники противошумные</w:t>
            </w:r>
            <w:r>
              <w:t xml:space="preserve"> с фиксацией в нескольких положениях с наличием регулировки в вертикальном и боковых направлениях.</w:t>
            </w:r>
            <w:r/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Поглощение шума не менее 35дБ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Соответствие ТР ТС 019/2011,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t xml:space="preserve">ГОСТ </w:t>
            </w:r>
            <w:r>
              <w:rPr>
                <w:lang w:val="en-US"/>
              </w:rPr>
              <w:t xml:space="preserve">EN</w:t>
            </w:r>
            <w:r>
              <w:t xml:space="preserve"> 13819-1-2021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6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Перчатки специальные для защиты от механических воздействий, проколов и порезов, в том числе ручной цепной пилой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СИЗ рук для защиты от механических воздействий прот</w:t>
            </w: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колов порезов, в том числе ручной цепной пилой.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1 класс защиты (20 м/с),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rPr>
                <w:lang w:val="en-US"/>
              </w:rPr>
              <w:t xml:space="preserve">C</w:t>
            </w:r>
            <w:r>
              <w:t xml:space="preserve">оответствие ТР ТС 019/2011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817" w:type="dxa"/>
            <w:vAlign w:val="top"/>
            <w:textDirection w:val="lrTb"/>
            <w:noWrap w:val="false"/>
          </w:tcPr>
          <w:p>
            <w:pPr>
              <w:pStyle w:val="907"/>
              <w:jc w:val="center"/>
            </w:pPr>
            <w:r>
              <w:t xml:space="preserve">7</w:t>
            </w:r>
            <w:r/>
          </w:p>
        </w:tc>
        <w:tc>
          <w:tcPr>
            <w:tcW w:w="2835" w:type="dxa"/>
            <w:vAlign w:val="top"/>
            <w:textDirection w:val="lrTb"/>
            <w:noWrap w:val="false"/>
          </w:tcPr>
          <w:p>
            <w:pPr>
              <w:pStyle w:val="907"/>
              <w:jc w:val="both"/>
            </w:pPr>
            <w:r>
              <w:t xml:space="preserve">Перчатки специальные морозостойкие с утепляющими вкладышами для защиты от механических воздействий, проколов и порезов, в том числе ручной цепной пилой;</w:t>
            </w:r>
            <w:r/>
          </w:p>
        </w:tc>
        <w:tc>
          <w:tcPr>
            <w:tcW w:w="12550" w:type="dxa"/>
            <w:vAlign w:val="top"/>
            <w:textDirection w:val="lrTb"/>
            <w:noWrap w:val="false"/>
          </w:tcPr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СИЗ рук (зимние) для защиты от механических воздейс</w:t>
            </w:r>
            <w:r>
              <w:rPr>
                <w:lang w:val="ru-RU"/>
              </w:rPr>
              <w:t xml:space="preserve">т</w:t>
            </w:r>
            <w:r>
              <w:rPr>
                <w:lang w:val="ru-RU"/>
              </w:rPr>
              <w:t xml:space="preserve">вий протоколов порезов, в том числе ручной цепной п</w:t>
            </w:r>
            <w:r>
              <w:rPr>
                <w:lang w:val="ru-RU"/>
              </w:rPr>
              <w:t xml:space="preserve">и</w:t>
            </w:r>
            <w:r>
              <w:rPr>
                <w:lang w:val="ru-RU"/>
              </w:rPr>
              <w:t xml:space="preserve">лой.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1 класс защиты (20 м/с),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64"/>
              <w:ind w:firstLine="0"/>
              <w:keepLines w:val="0"/>
              <w:keepNext w:val="0"/>
              <w:spacing w:before="0" w:after="0" w:line="240" w:lineRule="auto"/>
              <w:rPr>
                <w:lang w:val="ru-RU"/>
              </w:rPr>
              <w:suppressLineNumbers w:val="0"/>
            </w:pPr>
            <w:r>
              <w:rPr>
                <w:lang w:val="ru-RU"/>
              </w:rPr>
              <w:t xml:space="preserve">Сопротивление резанью пилой, работающей со скоростью 20 м/с – отсутствие сквозного разреза;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07"/>
              <w:jc w:val="both"/>
            </w:pPr>
            <w:r>
              <w:rPr>
                <w:lang w:val="en-US"/>
              </w:rPr>
              <w:t xml:space="preserve">C</w:t>
            </w:r>
            <w:r>
              <w:t xml:space="preserve">оответствие ТР ТС 019/2011</w:t>
            </w:r>
            <w:r/>
          </w:p>
        </w:tc>
      </w:tr>
    </w:tbl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Логотип</w:t>
      </w:r>
      <w:r>
        <w:rPr>
          <w:sz w:val="26"/>
          <w:szCs w:val="26"/>
          <w:lang w:val="ru-RU"/>
        </w:rPr>
        <w:t xml:space="preserve">ы</w:t>
      </w:r>
      <w:r>
        <w:rPr>
          <w:sz w:val="26"/>
          <w:szCs w:val="26"/>
          <w:lang w:val="ru-RU"/>
        </w:rPr>
        <w:t xml:space="preserve"> корпоративн</w:t>
      </w:r>
      <w:r>
        <w:rPr>
          <w:sz w:val="26"/>
          <w:szCs w:val="26"/>
          <w:lang w:val="ru-RU"/>
        </w:rPr>
        <w:t xml:space="preserve">ых</w:t>
      </w:r>
      <w:r>
        <w:rPr>
          <w:sz w:val="26"/>
          <w:szCs w:val="26"/>
          <w:lang w:val="ru-RU"/>
        </w:rPr>
        <w:t xml:space="preserve"> знак</w:t>
      </w:r>
      <w:r>
        <w:rPr>
          <w:sz w:val="26"/>
          <w:szCs w:val="26"/>
          <w:lang w:val="ru-RU"/>
        </w:rPr>
        <w:t xml:space="preserve">ов «Россети Сибирь» и «Россети»</w:t>
      </w:r>
      <w:r>
        <w:rPr>
          <w:sz w:val="26"/>
          <w:szCs w:val="26"/>
          <w:lang w:val="ru-RU"/>
        </w:rPr>
        <w:t xml:space="preserve"> выполняют</w:t>
      </w:r>
      <w:r>
        <w:rPr>
          <w:sz w:val="26"/>
          <w:szCs w:val="26"/>
          <w:lang w:val="ru-RU"/>
        </w:rPr>
        <w:t xml:space="preserve">ся</w:t>
      </w:r>
      <w:r>
        <w:rPr>
          <w:sz w:val="26"/>
          <w:szCs w:val="26"/>
          <w:lang w:val="ru-RU"/>
        </w:rPr>
        <w:t xml:space="preserve"> методом трафаретной печати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(форма, размер, цветовое решение логотипов представлены на рис.1</w:t>
      </w:r>
      <w:r>
        <w:rPr>
          <w:sz w:val="26"/>
          <w:szCs w:val="26"/>
          <w:lang w:val="ru-RU"/>
        </w:rPr>
        <w:t xml:space="preserve">.)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highlight w:val="none"/>
          <w:lang w:val="ru-RU"/>
        </w:rPr>
        <w:t xml:space="preserve">Надпись «РОСЕТИ Сибирь» 8</w:t>
      </w:r>
      <w:r>
        <w:rPr>
          <w:sz w:val="26"/>
          <w:szCs w:val="26"/>
          <w:lang w:val="ru-RU"/>
        </w:rPr>
        <w:t xml:space="preserve">0*25 мм располагается на клапане левого нагрудного кармана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highlight w:val="none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Надпись «</w:t>
      </w:r>
      <w:r>
        <w:rPr>
          <w:sz w:val="26"/>
          <w:szCs w:val="26"/>
          <w:lang w:val="ru-RU"/>
        </w:rPr>
        <w:t xml:space="preserve">РОССЕТИ</w:t>
      </w:r>
      <w:r>
        <w:rPr>
          <w:sz w:val="26"/>
          <w:szCs w:val="26"/>
          <w:lang w:val="ru-RU"/>
        </w:rPr>
        <w:t xml:space="preserve">» 220*42 мм распол</w:t>
      </w:r>
      <w:r>
        <w:rPr>
          <w:sz w:val="26"/>
          <w:szCs w:val="26"/>
          <w:lang w:val="ru-RU"/>
        </w:rPr>
        <w:t xml:space="preserve">агается</w:t>
      </w:r>
      <w:r>
        <w:rPr>
          <w:sz w:val="26"/>
          <w:szCs w:val="26"/>
          <w:lang w:val="ru-RU"/>
        </w:rPr>
        <w:t xml:space="preserve"> на задней части спины под световозвращающей полосой.</w:t>
      </w:r>
      <w:r>
        <w:rPr>
          <w:sz w:val="26"/>
          <w:szCs w:val="26"/>
          <w:highlight w:val="none"/>
          <w:lang w:val="ru-RU"/>
        </w:rPr>
      </w:r>
      <w:r>
        <w:rPr>
          <w:sz w:val="26"/>
          <w:szCs w:val="26"/>
          <w:highlight w:val="none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Описание фирменного знака</w:t>
      </w:r>
      <w:r>
        <w:rPr>
          <w:sz w:val="26"/>
          <w:szCs w:val="26"/>
          <w:lang w:val="ru-RU"/>
        </w:rPr>
        <w:t xml:space="preserve"> «Россети Сибирь»</w:t>
      </w:r>
      <w:r>
        <w:rPr>
          <w:sz w:val="26"/>
          <w:szCs w:val="26"/>
          <w:lang w:val="ru-RU"/>
        </w:rPr>
        <w:t xml:space="preserve">: знак представляет из себя круг</w:t>
      </w:r>
      <w:r>
        <w:rPr>
          <w:sz w:val="26"/>
          <w:szCs w:val="26"/>
          <w:lang w:val="ru-RU"/>
        </w:rPr>
        <w:t xml:space="preserve"> диаметром 40мм белого цвета</w:t>
      </w:r>
      <w:r>
        <w:rPr>
          <w:sz w:val="26"/>
          <w:szCs w:val="26"/>
          <w:lang w:val="ru-RU"/>
        </w:rPr>
        <w:t xml:space="preserve">, пересеченного пучком из четырех сходящихся лучей из нижнего левого угла в верхний правый угол под углом 55º к горизонтали в цвет подложки.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Описание фирменного знака «Россети»: знак представляет из себя буквы по центру.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Кайма белого цвета выполняется вокруг каждого из знаков в виде прямоугольников (линия толщиной 3-4 мм) на расстоянии 5мм между внутренними элементами знака и каждой из сторон прямоугольника.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  <w:lang w:val="ru-RU"/>
        </w:rPr>
        <w:suppressLineNumbers w:val="0"/>
      </w:pPr>
      <w:r>
        <w:rPr>
          <w:sz w:val="26"/>
          <w:szCs w:val="26"/>
          <w:lang w:val="ru-RU"/>
        </w:rPr>
        <w:t xml:space="preserve">Описание шрифта:</w:t>
      </w:r>
      <w:r>
        <w:rPr>
          <w:sz w:val="26"/>
          <w:szCs w:val="26"/>
          <w:lang w:val="ru-RU"/>
        </w:rPr>
        <w:tab/>
        <w:t xml:space="preserve">Фирменным шрифт</w:t>
      </w:r>
      <w:r>
        <w:rPr>
          <w:sz w:val="26"/>
          <w:szCs w:val="26"/>
          <w:lang w:val="ru-RU"/>
        </w:rPr>
        <w:t xml:space="preserve">ом</w:t>
      </w:r>
      <w:r>
        <w:rPr>
          <w:sz w:val="26"/>
          <w:szCs w:val="26"/>
          <w:lang w:val="ru-RU"/>
        </w:rPr>
        <w:t xml:space="preserve"> явля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  <w:lang w:val="ru-RU"/>
        </w:rPr>
        <w:t xml:space="preserve">тся начертани</w:t>
      </w:r>
      <w:r>
        <w:rPr>
          <w:sz w:val="26"/>
          <w:szCs w:val="26"/>
          <w:lang w:val="ru-RU"/>
        </w:rPr>
        <w:t xml:space="preserve">е</w:t>
      </w:r>
      <w:r>
        <w:rPr>
          <w:sz w:val="26"/>
          <w:szCs w:val="26"/>
          <w:lang w:val="ru-RU"/>
        </w:rPr>
        <w:t xml:space="preserve"> гарнитуры </w:t>
      </w:r>
      <w:r>
        <w:rPr>
          <w:sz w:val="26"/>
          <w:szCs w:val="26"/>
        </w:rPr>
        <w:t xml:space="preserve">Helios</w:t>
      </w:r>
      <w:r>
        <w:rPr>
          <w:sz w:val="26"/>
          <w:szCs w:val="26"/>
          <w:lang w:val="ru-RU"/>
        </w:rPr>
        <w:t xml:space="preserve"> высотой букв 9мм. Цвет белый</w:t>
      </w:r>
      <w:r>
        <w:rPr>
          <w:sz w:val="26"/>
          <w:szCs w:val="26"/>
          <w:lang w:val="ru-RU"/>
        </w:rPr>
        <w:t xml:space="preserve">. Не используются начертания </w:t>
      </w:r>
      <w:r>
        <w:rPr>
          <w:sz w:val="26"/>
          <w:szCs w:val="26"/>
        </w:rPr>
        <w:t xml:space="preserve">Condenced</w:t>
      </w:r>
      <w:r>
        <w:rPr>
          <w:sz w:val="26"/>
          <w:szCs w:val="26"/>
          <w:lang w:val="ru-RU"/>
        </w:rPr>
        <w:t xml:space="preserve">, </w:t>
      </w:r>
      <w:r>
        <w:rPr>
          <w:sz w:val="26"/>
          <w:szCs w:val="26"/>
        </w:rPr>
        <w:t xml:space="preserve">Blak</w:t>
      </w:r>
      <w:r>
        <w:rPr>
          <w:sz w:val="26"/>
          <w:szCs w:val="26"/>
          <w:lang w:val="ru-RU"/>
        </w:rPr>
        <w:t xml:space="preserve">, </w:t>
      </w:r>
      <w:r>
        <w:rPr>
          <w:sz w:val="26"/>
          <w:szCs w:val="26"/>
        </w:rPr>
        <w:t xml:space="preserve">Light</w:t>
      </w:r>
      <w:r>
        <w:rPr>
          <w:sz w:val="26"/>
          <w:szCs w:val="26"/>
          <w:lang w:val="ru-RU"/>
        </w:rPr>
        <w:t xml:space="preserve">.</w:t>
      </w:r>
      <w:r>
        <w:rPr>
          <w:bCs/>
          <w:spacing w:val="4"/>
        </w:rPr>
        <w:t xml:space="preserve">                                              </w:t>
      </w:r>
      <w:r>
        <w:rPr>
          <w:sz w:val="26"/>
          <w:szCs w:val="26"/>
          <w:lang w:val="ru-RU"/>
        </w:rPr>
      </w:r>
      <w:r>
        <w:rPr>
          <w:sz w:val="26"/>
          <w:szCs w:val="26"/>
          <w:lang w:val="ru-RU"/>
        </w:rPr>
      </w:r>
    </w:p>
    <w:p>
      <w:pPr>
        <w:pStyle w:val="964"/>
        <w:keepLines w:val="0"/>
        <w:keepNext w:val="0"/>
        <w:rPr>
          <w:bCs/>
          <w:spacing w:val="4"/>
          <w:lang w:val="ru-RU" w:eastAsia="ru-RU"/>
        </w:rPr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81000" cy="361950"/>
                <wp:effectExtent l="0" t="0" r="0" b="0"/>
                <wp:docPr id="2" name="_x0000_i102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84789435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80999" cy="3619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0.00pt;height:28.5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Cs/>
          <w:spacing w:val="4"/>
          <w:lang w:val="ru-RU" w:eastAsia="ru-RU"/>
        </w:rPr>
        <w:t xml:space="preserve"> </w:t>
      </w:r>
      <w:r>
        <w:rPr>
          <w:bCs/>
          <w:spacing w:val="4"/>
          <w:lang w:eastAsia="ru-RU"/>
        </w:rPr>
        <w:t xml:space="preserve">Pantone</w:t>
      </w:r>
      <w:r>
        <w:rPr>
          <w:bCs/>
          <w:spacing w:val="4"/>
          <w:lang w:val="ru-RU" w:eastAsia="ru-RU"/>
        </w:rPr>
        <w:t xml:space="preserve"> 280 </w:t>
      </w:r>
      <w:r>
        <w:rPr>
          <w:bCs/>
          <w:spacing w:val="4"/>
          <w:lang w:eastAsia="ru-RU"/>
        </w:rPr>
        <w:t xml:space="preserve">CVC</w:t>
      </w:r>
      <w:r>
        <w:rPr>
          <w:bCs/>
          <w:spacing w:val="4"/>
          <w:lang w:val="ru-RU" w:eastAsia="ru-RU"/>
        </w:rPr>
        <w:t xml:space="preserve"> (</w:t>
      </w:r>
      <w:r>
        <w:rPr>
          <w:bCs/>
          <w:spacing w:val="4"/>
          <w:lang w:eastAsia="ru-RU"/>
        </w:rPr>
        <w:t xml:space="preserve">Cyan</w:t>
      </w:r>
      <w:r>
        <w:rPr>
          <w:bCs/>
          <w:spacing w:val="4"/>
          <w:lang w:val="ru-RU" w:eastAsia="ru-RU"/>
        </w:rPr>
        <w:t xml:space="preserve">-100%, </w:t>
      </w:r>
      <w:r>
        <w:rPr>
          <w:bCs/>
          <w:spacing w:val="4"/>
          <w:lang w:eastAsia="ru-RU"/>
        </w:rPr>
        <w:t xml:space="preserve">Magenta</w:t>
      </w:r>
      <w:r>
        <w:rPr>
          <w:bCs/>
          <w:spacing w:val="4"/>
          <w:lang w:val="ru-RU" w:eastAsia="ru-RU"/>
        </w:rPr>
        <w:t xml:space="preserve">-72%, </w:t>
      </w:r>
      <w:r>
        <w:rPr>
          <w:bCs/>
          <w:spacing w:val="4"/>
          <w:lang w:eastAsia="ru-RU"/>
        </w:rPr>
        <w:t xml:space="preserve">Yellow</w:t>
      </w:r>
      <w:r>
        <w:rPr>
          <w:bCs/>
          <w:spacing w:val="4"/>
          <w:lang w:val="ru-RU" w:eastAsia="ru-RU"/>
        </w:rPr>
        <w:t xml:space="preserve">-0%, </w:t>
      </w:r>
      <w:r>
        <w:rPr>
          <w:bCs/>
          <w:spacing w:val="4"/>
          <w:lang w:eastAsia="ru-RU"/>
        </w:rPr>
        <w:t xml:space="preserve">Black</w:t>
      </w:r>
      <w:r>
        <w:rPr>
          <w:bCs/>
          <w:spacing w:val="4"/>
          <w:lang w:val="ru-RU" w:eastAsia="ru-RU"/>
        </w:rPr>
        <w:t xml:space="preserve">-18 %)</w:t>
      </w:r>
      <w:r>
        <w:rPr>
          <w:bCs/>
          <w:spacing w:val="4"/>
          <w:lang w:val="ru-RU" w:eastAsia="ru-RU"/>
        </w:rPr>
      </w:r>
      <w:r>
        <w:rPr>
          <w:bCs/>
          <w:spacing w:val="4"/>
          <w:lang w:val="ru-RU" w:eastAsia="ru-RU"/>
        </w:rPr>
      </w:r>
    </w:p>
    <w:p>
      <w:pPr>
        <w:pStyle w:val="964"/>
        <w:keepLines w:val="0"/>
        <w:keepNext w:val="0"/>
        <w:suppressLineNumbers w:val="0"/>
      </w:pPr>
      <w:r>
        <w:rPr>
          <w:spacing w:val="4"/>
          <w:lang w:val="ru-RU"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81000" cy="342900"/>
                <wp:effectExtent l="0" t="0" r="0" b="0"/>
                <wp:docPr id="3" name="_x0000_i102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7825429" name=""/>
                        <pic:cNvPicPr/>
                        <pic:nvPr/>
                      </pic:nvPicPr>
                      <pic:blipFill>
                        <a:blip r:embed="rId12"/>
                        <a:srcRect l="0" t="0" r="0" b="-742"/>
                        <a:stretch/>
                      </pic:blipFill>
                      <pic:spPr bwMode="auto">
                        <a:xfrm>
                          <a:off x="0" y="0"/>
                          <a:ext cx="380999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30.00pt;height:27.00pt;mso-wrap-distance-left:0.00pt;mso-wrap-distance-top:0.00pt;mso-wrap-distance-right:0.00pt;mso-wrap-distance-bottom:0.00pt;" stroked="f">
                <v:path textboxrect="0,0,0,0"/>
                <v:imagedata r:id="rId12" o:title=""/>
              </v:shape>
            </w:pict>
          </mc:Fallback>
        </mc:AlternateContent>
      </w:r>
      <w:r>
        <w:rPr>
          <w:bCs/>
          <w:spacing w:val="4"/>
          <w:lang w:eastAsia="ru-RU"/>
        </w:rPr>
        <w:t xml:space="preserve"> Pantone Cool Gray 6CVC (Cyan-0%, Magenta-0%, Yellow-0%, Black-8 %)</w:t>
      </w:r>
      <w:r/>
    </w:p>
    <w:p>
      <w:pPr>
        <w:jc w:val="both"/>
        <w:keepNext/>
        <w:rPr>
          <w:sz w:val="26"/>
          <w:szCs w:val="26"/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" behindDoc="0" locked="0" layoutInCell="1" allowOverlap="1">
                <wp:simplePos x="0" y="0"/>
                <wp:positionH relativeFrom="column">
                  <wp:posOffset>6086815</wp:posOffset>
                </wp:positionH>
                <wp:positionV relativeFrom="paragraph">
                  <wp:posOffset>21590</wp:posOffset>
                </wp:positionV>
                <wp:extent cx="3124200" cy="1357744"/>
                <wp:effectExtent l="25400" t="25400" r="25400" b="25400"/>
                <wp:wrapNone/>
                <wp:docPr id="4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 flipH="0" flipV="0">
                          <a:off x="0" y="0"/>
                          <a:ext cx="3124198" cy="1357742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42"/>
                              <w:jc w:val="center"/>
                            </w:pPr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2863870" cy="1104900"/>
                                      <wp:effectExtent l="6350" t="6350" r="6350" b="6350"/>
                                      <wp:docPr id="5" name="_x0000_i1026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75842148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3"/>
                                              <a:stretch/>
                                            </pic:blipFill>
                                            <pic:spPr bwMode="auto">
                                              <a:xfrm flipH="0" flipV="0">
                                                <a:off x="0" y="0"/>
                                                <a:ext cx="2863868" cy="1104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3" o:spid="_x0000_s3" type="#_x0000_t75" style="width:225.50pt;height:87.00pt;mso-wrap-distance-left:0.00pt;mso-wrap-distance-top:0.00pt;mso-wrap-distance-right:0.00pt;mso-wrap-distance-bottom:0.00pt;" stroked="f">
                                      <v:path textboxrect="0,0,0,0"/>
                                      <v:imagedata r:id="rId13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o:spt="202" type="#_x0000_t202" style="position:absolute;z-index:2;o:allowoverlap:true;o:allowincell:true;mso-position-horizontal-relative:text;margin-left:479.28pt;mso-position-horizontal:absolute;mso-position-vertical-relative:text;margin-top:1.70pt;mso-position-vertical:absolute;width:246.00pt;height:106.91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pPr>
                        <w:ind w:firstLine="142"/>
                        <w:jc w:val="center"/>
                      </w:pPr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2863870" cy="1104900"/>
                                <wp:effectExtent l="6350" t="6350" r="6350" b="6350"/>
                                <wp:docPr id="5" name="_x0000_i1026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75842148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3"/>
                                        <a:stretch/>
                                      </pic:blipFill>
                                      <pic:spPr bwMode="auto">
                                        <a:xfrm flipH="0" flipV="0">
                                          <a:off x="0" y="0"/>
                                          <a:ext cx="2863868" cy="110489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3" o:spid="_x0000_s3" type="#_x0000_t75" style="width:225.50pt;height:87.00pt;mso-wrap-distance-left:0.00pt;mso-wrap-distance-top:0.00pt;mso-wrap-distance-right:0.00pt;mso-wrap-distance-bottom:0.00pt;" stroked="f">
                                <v:path textboxrect="0,0,0,0"/>
                                <v:imagedata r:id="rId13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0" locked="0" layoutInCell="1" allowOverlap="1">
                <wp:simplePos x="0" y="0"/>
                <wp:positionH relativeFrom="column">
                  <wp:posOffset>-136525</wp:posOffset>
                </wp:positionH>
                <wp:positionV relativeFrom="paragraph">
                  <wp:posOffset>85090</wp:posOffset>
                </wp:positionV>
                <wp:extent cx="3767455" cy="1169035"/>
                <wp:effectExtent l="0" t="0" r="0" b="0"/>
                <wp:wrapNone/>
                <wp:docPr id="6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3514789" cy="1294243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182A82"/>
                          </a:solidFill>
                        </a:ln>
                      </wps:spPr>
                      <wps:txbx>
                        <w:txbxContent>
                          <w:p>
                            <w:r>
                              <mc:AlternateContent>
                                <mc:Choice Requires="wpg">
                                  <w:drawing>
                                    <wp:inline xmlns:wp="http://schemas.openxmlformats.org/drawingml/2006/wordprocessingDrawing" distT="0" distB="0" distL="0" distR="0">
                                      <wp:extent cx="3318849" cy="1028700"/>
                                      <wp:effectExtent l="6350" t="6350" r="6351" b="6350"/>
                                      <wp:docPr id="7" name="_x0000_i1030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47658718" name=""/>
                                              <pic:cNvPicPr/>
                                              <pic:nvPr/>
                                            </pic:nvPicPr>
                                            <pic:blipFill>
                                              <a:blip r:embed="rId14"/>
                                              <a:srcRect l="33693" t="0" r="0" b="0"/>
                                              <a:stretch/>
                                            </pic:blipFill>
                                            <pic:spPr bwMode="auto">
                                              <a:xfrm rot="0" flipH="0" flipV="0">
                                                <a:off x="0" y="0"/>
                                                <a:ext cx="3318849" cy="10287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  <a:rou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type type="#_x0000_t75" o:spt="75" coordsize="21600,21600" o:preferrelative="t" path="m@4@5l@4@11@9@11@9@5xe"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</v:shapetype>
                                    <v:shape id="_x0000_i5" o:spid="_x0000_s5" type="#_x0000_t75" style="width:261.33pt;height:81.00pt;mso-wrap-distance-left:0.00pt;mso-wrap-distance-top:0.00pt;mso-wrap-distance-right:0.00pt;mso-wrap-distance-bottom:0.00pt;rotation:0;" stroked="f">
                                      <v:path textboxrect="0,0,0,0"/>
                                      <v:imagedata r:id="rId14" o:title=""/>
                                    </v:shape>
                                  </w:pict>
                                </mc:Fallback>
                              </mc:AlternateConten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6" o:spid="_x0000_s6" o:spt="202" type="#_x0000_t202" style="position:absolute;z-index:1;o:allowoverlap:true;o:allowincell:true;mso-position-horizontal-relative:text;margin-left:-10.75pt;mso-position-horizontal:absolute;mso-position-vertical-relative:text;margin-top:6.70pt;mso-position-vertical:absolute;width:296.65pt;height:92.05pt;mso-wrap-distance-left:9.00pt;mso-wrap-distance-top:0.00pt;mso-wrap-distance-right:9.00pt;mso-wrap-distance-bottom:0.00pt;visibility:visible;" filled="f" strokecolor="#182A82" strokeweight="4.00pt">
                <v:textbox inset="0,0,0,0">
                  <w:txbxContent>
                    <w:p>
                      <w:r>
                        <mc:AlternateContent>
                          <mc:Choice Requires="wpg">
                            <w:drawing>
                              <wp:inline xmlns:wp="http://schemas.openxmlformats.org/drawingml/2006/wordprocessingDrawing" distT="0" distB="0" distL="0" distR="0">
                                <wp:extent cx="3318849" cy="1028700"/>
                                <wp:effectExtent l="6350" t="6350" r="6351" b="6350"/>
                                <wp:docPr id="7" name="_x0000_i1030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47658718" name=""/>
                                        <pic:cNvPicPr/>
                                        <pic:nvPr/>
                                      </pic:nvPicPr>
                                      <pic:blipFill>
                                        <a:blip r:embed="rId14"/>
                                        <a:srcRect l="33693" t="0" r="0" b="0"/>
                                        <a:stretch/>
                                      </pic:blipFill>
                                      <pic:spPr bwMode="auto">
                                        <a:xfrm rot="0" flipH="0" flipV="0">
                                          <a:off x="0" y="0"/>
                                          <a:ext cx="3318849" cy="1028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  <a:rou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mc:Choice>
                          <mc:Fallback>
                            <w:pict>
                              <v:shapetype type="#_x0000_t75" o:spt="75" coordsize="21600,21600" o:preferrelative="t" path="m@4@5l@4@11@9@11@9@5xe"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</v:shapetype>
                              <v:shape id="_x0000_i5" o:spid="_x0000_s5" type="#_x0000_t75" style="width:261.33pt;height:81.00pt;mso-wrap-distance-left:0.00pt;mso-wrap-distance-top:0.00pt;mso-wrap-distance-right:0.00pt;mso-wrap-distance-bottom:0.00pt;rotation:0;" stroked="f">
                                <v:path textboxrect="0,0,0,0"/>
                                <v:imagedata r:id="rId14" o:title=""/>
                              </v:shape>
                            </w:pict>
                          </mc:Fallback>
                        </mc:AlternateConten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jc w:val="both"/>
        <w:keepNext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jc w:val="both"/>
        <w:keepNext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jc w:val="both"/>
        <w:keepNext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  <w:r>
        <w:rPr>
          <w:sz w:val="26"/>
          <w:szCs w:val="26"/>
          <w:lang w:val="en-US"/>
        </w:rPr>
      </w:r>
    </w:p>
    <w:p>
      <w:pPr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jc w:val="center"/>
        <w:keepNext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  <w:r>
        <w:rPr>
          <w:sz w:val="18"/>
          <w:szCs w:val="18"/>
          <w:lang w:val="en-US"/>
        </w:rPr>
      </w:r>
    </w:p>
    <w:p>
      <w:pPr>
        <w:jc w:val="center"/>
        <w:keepNext/>
        <w:rPr>
          <w:sz w:val="18"/>
          <w:szCs w:val="18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jc w:val="center"/>
        <w:keepNext/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Рисунок №1. Описание логотипов.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jc w:val="center"/>
        <w:keepNext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contextualSpacing/>
        <w:ind w:firstLine="709"/>
        <w:jc w:val="both"/>
        <w:keepLines w:val="0"/>
        <w:keepNext/>
        <w:spacing w:before="120" w:after="120" w:line="300" w:lineRule="auto"/>
        <w:widowControl w:val="off"/>
        <w:rPr>
          <w:sz w:val="26"/>
          <w:szCs w:val="26"/>
          <w:lang w:eastAsia="en-US"/>
        </w:rPr>
        <w:sectPr>
          <w:footnotePr/>
          <w:endnotePr/>
          <w:type w:val="nextPage"/>
          <w:pgSz w:w="16838" w:h="11906" w:orient="landscape"/>
          <w:pgMar w:top="851" w:right="567" w:bottom="709" w:left="1276" w:header="709" w:footer="709" w:gutter="0"/>
          <w:cols w:num="1" w:sep="0" w:space="708" w:equalWidth="1"/>
          <w:docGrid w:linePitch="360"/>
        </w:sectPr>
        <w:suppressLineNumbers/>
      </w:pP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  <w:r>
        <w:rPr>
          <w:sz w:val="26"/>
          <w:szCs w:val="26"/>
          <w:lang w:eastAsia="en-US"/>
        </w:rPr>
      </w:r>
    </w:p>
    <w:p>
      <w:pPr>
        <w:contextualSpacing/>
        <w:ind w:firstLine="709"/>
        <w:jc w:val="both"/>
        <w:keepLines/>
        <w:keepNext/>
        <w:spacing w:before="120" w:after="120"/>
        <w:widowControl w:val="off"/>
        <w:rPr>
          <w:b/>
          <w:bCs/>
          <w:sz w:val="26"/>
          <w:szCs w:val="26"/>
          <w:highlight w:val="none"/>
          <w:lang w:val="en-US" w:eastAsia="en-US"/>
        </w:rPr>
        <w:suppressLineNumbers/>
      </w:pPr>
      <w:r>
        <w:rPr>
          <w:b/>
          <w:sz w:val="26"/>
          <w:szCs w:val="26"/>
          <w:highlight w:val="none"/>
          <w:lang w:val="en-US" w:eastAsia="en-US"/>
        </w:rPr>
      </w:r>
      <w:r>
        <w:rPr>
          <w:b/>
          <w:bCs/>
          <w:sz w:val="26"/>
          <w:szCs w:val="26"/>
          <w:highlight w:val="none"/>
          <w:lang w:val="en-US" w:eastAsia="en-US"/>
        </w:rPr>
      </w:r>
      <w:r>
        <w:rPr>
          <w:b/>
          <w:bCs/>
          <w:sz w:val="26"/>
          <w:szCs w:val="26"/>
          <w:highlight w:val="none"/>
          <w:lang w:val="en-US" w:eastAsia="en-US"/>
        </w:rPr>
      </w:r>
    </w:p>
    <w:p>
      <w:pPr>
        <w:contextualSpacing/>
        <w:ind w:firstLine="709"/>
        <w:jc w:val="both"/>
        <w:keepLines/>
        <w:keepNext/>
        <w:spacing w:before="120" w:after="120"/>
        <w:widowControl w:val="off"/>
        <w:rPr>
          <w:b/>
          <w:bCs/>
          <w:sz w:val="26"/>
          <w:szCs w:val="26"/>
          <w:highlight w:val="none"/>
          <w:lang w:val="en-US" w:eastAsia="en-US"/>
        </w:rPr>
        <w:suppressLineNumbers/>
      </w:pPr>
      <w:r>
        <w:rPr>
          <w:b/>
          <w:sz w:val="26"/>
          <w:szCs w:val="26"/>
          <w:lang w:val="en-US" w:eastAsia="en-US"/>
        </w:rPr>
      </w:r>
      <w:r>
        <w:rPr>
          <w:b/>
          <w:sz w:val="26"/>
          <w:szCs w:val="26"/>
          <w:lang w:val="en-US" w:eastAsia="en-US"/>
        </w:rPr>
        <w:t xml:space="preserve">Пример н</w:t>
      </w:r>
      <w:r>
        <w:rPr>
          <w:b/>
          <w:sz w:val="26"/>
          <w:szCs w:val="26"/>
          <w:lang w:val="en-US" w:eastAsia="en-US"/>
        </w:rPr>
        <w:t xml:space="preserve">анесения логотипа на спецодежду:</w:t>
      </w:r>
      <w:r>
        <w:rPr>
          <w:b/>
          <w:bCs/>
          <w:sz w:val="26"/>
          <w:szCs w:val="26"/>
          <w:highlight w:val="none"/>
          <w:lang w:val="en-US" w:eastAsia="en-US"/>
        </w:rPr>
      </w:r>
      <w:r>
        <w:rPr>
          <w:b/>
          <w:bCs/>
          <w:sz w:val="26"/>
          <w:szCs w:val="26"/>
          <w:highlight w:val="none"/>
          <w:lang w:val="en-US" w:eastAsia="en-US"/>
        </w:rPr>
      </w:r>
    </w:p>
    <w:p>
      <w:pPr>
        <w:contextualSpacing/>
        <w:ind w:firstLine="709"/>
        <w:jc w:val="both"/>
        <w:keepLines/>
        <w:keepNext/>
        <w:spacing w:before="120" w:after="120"/>
        <w:widowControl w:val="off"/>
        <w:rPr>
          <w:b/>
          <w:bCs/>
          <w:sz w:val="26"/>
          <w:szCs w:val="26"/>
          <w:highlight w:val="none"/>
          <w:lang w:val="en-US" w:eastAsia="en-US"/>
        </w:rPr>
        <w:suppressLineNumbers/>
      </w:pPr>
      <w:r>
        <w:rPr>
          <w:b/>
          <w:bCs/>
          <w:sz w:val="26"/>
          <w:szCs w:val="26"/>
          <w:highlight w:val="none"/>
          <w:lang w:val="en-US" w:eastAsia="en-US"/>
        </w:rPr>
      </w:r>
      <w:r>
        <w:rPr>
          <w:b/>
          <w:bCs/>
          <w:sz w:val="26"/>
          <w:szCs w:val="26"/>
          <w:highlight w:val="none"/>
          <w:lang w:val="en-US" w:eastAsia="en-US"/>
        </w:rPr>
      </w:r>
      <w:r>
        <w:rPr>
          <w:b/>
          <w:bCs/>
          <w:sz w:val="26"/>
          <w:szCs w:val="26"/>
          <w:highlight w:val="none"/>
          <w:lang w:val="en-US" w:eastAsia="en-US"/>
        </w:rPr>
      </w:r>
    </w:p>
    <w:p>
      <w:pPr>
        <w:contextualSpacing/>
        <w:jc w:val="center"/>
        <w:keepNext/>
        <w:spacing w:before="120" w:after="120" w:line="300" w:lineRule="auto"/>
        <w:widowControl w:val="off"/>
        <w:tabs>
          <w:tab w:val="left" w:pos="5856" w:leader="none"/>
        </w:tabs>
        <w:rPr>
          <w:lang w:val="en-US"/>
        </w:rPr>
      </w:pPr>
      <w:r>
        <w:rPr>
          <w:lang w:val="en-U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715000" cy="6638925"/>
                <wp:effectExtent l="0" t="0" r="0" b="0"/>
                <wp:docPr id="8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4679735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715000" cy="66389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width:450.00pt;height:522.75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lang w:val="en-US"/>
        </w:rPr>
      </w:r>
      <w:r>
        <w:rPr>
          <w:lang w:val="en-US"/>
        </w:rPr>
      </w:r>
    </w:p>
    <w:p>
      <w:pPr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709"/>
        <w:jc w:val="center"/>
        <w:keepNext/>
        <w:rPr>
          <w:sz w:val="18"/>
          <w:szCs w:val="18"/>
        </w:rPr>
      </w:pPr>
      <w:r>
        <w:rPr>
          <w:sz w:val="18"/>
          <w:szCs w:val="18"/>
        </w:rPr>
        <w:t xml:space="preserve">Рисунок №2. Нанесение логотипов на костюмы для защиты от общих производственных загрязнений и механических воздействий (порезов), с защитой верхней части тела и ног от порезов ручной цепной пилы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64"/>
        <w:keepLines w:val="0"/>
        <w:keepNext w:val="0"/>
        <w:spacing w:before="0" w:after="0" w:line="240" w:lineRule="auto"/>
        <w:rPr>
          <w:sz w:val="26"/>
          <w:szCs w:val="26"/>
        </w:rPr>
        <w:suppressLineNumbers w:val="0"/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8"/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sz w:val="26"/>
          <w:szCs w:val="26"/>
        </w:rPr>
        <w:pBdr>
          <w:left w:val="single" w:color="000000" w:sz="4" w:space="1"/>
        </w:pBdr>
      </w:pPr>
      <w:r>
        <w:rPr>
          <w:rFonts w:ascii="Times New Roman" w:hAnsi="Times New Roman"/>
          <w:sz w:val="26"/>
          <w:szCs w:val="26"/>
        </w:rPr>
        <w:t xml:space="preserve">Обязательна маркировка изнаночной стороны ткани с включением следующих сведений: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77"/>
        <w:numPr>
          <w:ilvl w:val="0"/>
          <w:numId w:val="8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наимен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вание предприятия-производителя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77"/>
        <w:numPr>
          <w:ilvl w:val="0"/>
          <w:numId w:val="8"/>
        </w:numPr>
        <w:spacing w:line="240" w:lineRule="auto"/>
        <w:tabs>
          <w:tab w:val="left" w:pos="709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адрес предприятия-изготовителя и/или логотип предприятия-изготовителя.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8"/>
        <w:ind w:left="0" w:firstLine="567"/>
        <w:spacing w:after="0" w:line="240" w:lineRule="auto"/>
        <w:tabs>
          <w:tab w:val="left" w:pos="851" w:leader="none"/>
        </w:tabs>
        <w:rPr>
          <w:rFonts w:ascii="Times New Roman" w:hAnsi="Times New Roman"/>
          <w:sz w:val="26"/>
          <w:szCs w:val="26"/>
        </w:rPr>
        <w:pBdr>
          <w:left w:val="single" w:color="000000" w:sz="4" w:space="1"/>
        </w:pBdr>
      </w:pPr>
      <w:r>
        <w:rPr>
          <w:rFonts w:ascii="Times New Roman" w:hAnsi="Times New Roman"/>
          <w:sz w:val="26"/>
          <w:szCs w:val="26"/>
        </w:rPr>
        <w:t xml:space="preserve">Нанесение маркировки должно быть раппортом (на каждом квадратном метре ткани должно быть нанесено не менее 4-ех элементов), обеспечивающим идентификацию ткани в готовом изделии.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907"/>
        <w:ind w:firstLine="567"/>
        <w:tabs>
          <w:tab w:val="left" w:pos="851" w:leader="none"/>
        </w:tabs>
        <w:rPr>
          <w:sz w:val="26"/>
          <w:szCs w:val="26"/>
        </w:rPr>
        <w:pBdr>
          <w:left w:val="single" w:color="000000" w:sz="4" w:space="1"/>
        </w:pBdr>
      </w:pPr>
      <w:r>
        <w:rPr>
          <w:sz w:val="26"/>
          <w:szCs w:val="26"/>
        </w:rPr>
        <w:t xml:space="preserve">Нанесение маркировки должно быть выполнено краской контрастного по отношению к ткани цвета, быть четким и читабельным, позволять однозначно идентифицировать компанию-производителя текстильного материала.  Маркировка должны выдерживать не менее 5 стирок.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64"/>
        <w:keepLines w:val="0"/>
        <w:keepNext w:val="0"/>
        <w:rPr>
          <w:sz w:val="26"/>
          <w:szCs w:val="26"/>
        </w:rPr>
        <w:suppressLineNumbers w:val="0"/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6" w:h="16838" w:orient="portrait"/>
      <w:pgMar w:top="426" w:right="521" w:bottom="426" w:left="124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&amp;quot;Times New Roman&amp;quot;,&amp;quot;serif&amp;quot;">
    <w:panose1 w:val="02000603000000000000"/>
  </w:font>
  <w:font w:name="Tinos">
    <w:panose1 w:val="02020603050405020304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6030504020204"/>
  </w:font>
  <w:font w:name="Times New Roman">
    <w:panose1 w:val="02020603050405020304"/>
  </w:font>
  <w:font w:name="Tahoma">
    <w:panose1 w:val="020B0606040504020204"/>
  </w:font>
  <w:font w:name="Times New Roman CYR">
    <w:panose1 w:val="02000603000000000000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36"/>
      </w:rPr>
      <w:framePr w:wrap="around" w:vAnchor="text" w:hAnchor="margin" w:xAlign="center" w:y="1"/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separate"/>
    </w:r>
    <w:r>
      <w:rPr>
        <w:rStyle w:val="936"/>
      </w:rPr>
      <w:t xml:space="preserve">5</w: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35"/>
      <w:rPr>
        <w:rStyle w:val="936"/>
      </w:rPr>
      <w:framePr w:wrap="around" w:vAnchor="text" w:hAnchor="margin" w:xAlign="right" w:y="1"/>
    </w:pPr>
    <w:r>
      <w:rPr>
        <w:rStyle w:val="936"/>
      </w:rPr>
    </w:r>
    <w:r>
      <w:rPr>
        <w:rStyle w:val="936"/>
      </w:rPr>
    </w:r>
    <w:r>
      <w:rPr>
        <w:rStyle w:val="936"/>
      </w:rPr>
    </w:r>
  </w:p>
  <w:p>
    <w:pPr>
      <w:pStyle w:val="935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36"/>
      </w:rPr>
      <w:framePr w:wrap="around" w:vAnchor="text" w:hAnchor="margin" w:xAlign="center" w:y="1"/>
    </w:pPr>
    <w:r>
      <w:rPr>
        <w:rStyle w:val="936"/>
      </w:rPr>
      <w:fldChar w:fldCharType="begin"/>
    </w:r>
    <w:r>
      <w:rPr>
        <w:rStyle w:val="936"/>
      </w:rPr>
      <w:instrText xml:space="preserve">PAGE  </w:instrText>
    </w:r>
    <w:r>
      <w:rPr>
        <w:rStyle w:val="936"/>
      </w:rPr>
      <w:fldChar w:fldCharType="separate"/>
    </w:r>
    <w:r>
      <w:rPr>
        <w:rStyle w:val="936"/>
      </w:rPr>
      <w:t xml:space="preserve">2</w:t>
    </w:r>
    <w:r>
      <w:rPr>
        <w:rStyle w:val="936"/>
      </w:rPr>
      <w:fldChar w:fldCharType="end"/>
    </w:r>
    <w:r>
      <w:rPr>
        <w:rStyle w:val="936"/>
      </w:rPr>
    </w:r>
    <w:r>
      <w:rPr>
        <w:rStyle w:val="936"/>
      </w:rPr>
    </w:r>
  </w:p>
  <w:p>
    <w:pPr>
      <w:pStyle w:val="93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5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977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3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0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2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6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8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29" w:hanging="360"/>
      </w:pPr>
      <w:rPr>
        <w:rFonts w:hint="default" w:ascii="Wingdings" w:hAnsi="Wingdings" w:eastAsia="Wingdings" w:cs="Wingdings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link w:val="761"/>
    <w:uiPriority w:val="35"/>
    <w:rPr>
      <w:b/>
      <w:bCs/>
      <w:color w:val="4f81bd" w:themeColor="accent1"/>
      <w:sz w:val="18"/>
      <w:szCs w:val="18"/>
    </w:rPr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rPr>
      <w:sz w:val="24"/>
      <w:szCs w:val="24"/>
      <w:lang w:val="ru-RU" w:eastAsia="ru-RU" w:bidi="ar-SA"/>
    </w:rPr>
  </w:style>
  <w:style w:type="paragraph" w:styleId="908">
    <w:name w:val="Заголовок 1"/>
    <w:next w:val="907"/>
    <w:link w:val="907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909">
    <w:name w:val="Заголовок 2"/>
    <w:next w:val="907"/>
    <w:link w:val="907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910">
    <w:name w:val="Заголовок 3"/>
    <w:basedOn w:val="907"/>
    <w:next w:val="907"/>
    <w:link w:val="907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11">
    <w:name w:val="Заголовок 4"/>
    <w:next w:val="907"/>
    <w:link w:val="907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912">
    <w:name w:val="Заголовок 5"/>
    <w:next w:val="907"/>
    <w:link w:val="907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913">
    <w:name w:val="Заголовок 6"/>
    <w:next w:val="907"/>
    <w:link w:val="907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914">
    <w:name w:val="Заголовок 7"/>
    <w:basedOn w:val="908"/>
    <w:next w:val="907"/>
    <w:link w:val="907"/>
    <w:qFormat/>
    <w:pPr>
      <w:jc w:val="right"/>
      <w:outlineLvl w:val="6"/>
    </w:pPr>
  </w:style>
  <w:style w:type="paragraph" w:styleId="915">
    <w:name w:val="Заголовок 8"/>
    <w:basedOn w:val="907"/>
    <w:next w:val="907"/>
    <w:link w:val="907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16">
    <w:name w:val="Заголовок 9"/>
    <w:basedOn w:val="907"/>
    <w:next w:val="907"/>
    <w:link w:val="907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917">
    <w:name w:val="Основной шрифт абзаца"/>
    <w:next w:val="917"/>
    <w:link w:val="907"/>
    <w:semiHidden/>
  </w:style>
  <w:style w:type="table" w:styleId="918">
    <w:name w:val="Обычная таблица"/>
    <w:next w:val="918"/>
    <w:link w:val="907"/>
    <w:semiHidden/>
    <w:tblPr/>
  </w:style>
  <w:style w:type="numbering" w:styleId="919">
    <w:name w:val="Нет списка"/>
    <w:next w:val="919"/>
    <w:link w:val="907"/>
    <w:semiHidden/>
  </w:style>
  <w:style w:type="paragraph" w:styleId="920">
    <w:name w:val="Оглавление 1"/>
    <w:basedOn w:val="907"/>
    <w:next w:val="907"/>
    <w:link w:val="907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921">
    <w:name w:val="Оглавление 2"/>
    <w:basedOn w:val="907"/>
    <w:next w:val="907"/>
    <w:link w:val="907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922">
    <w:name w:val="Оглавление 3"/>
    <w:basedOn w:val="907"/>
    <w:next w:val="907"/>
    <w:link w:val="907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923">
    <w:name w:val="Оглавление 4"/>
    <w:basedOn w:val="907"/>
    <w:next w:val="907"/>
    <w:link w:val="907"/>
    <w:semiHidden/>
    <w:pPr>
      <w:ind w:left="720"/>
    </w:pPr>
    <w:rPr>
      <w:sz w:val="20"/>
      <w:szCs w:val="20"/>
    </w:rPr>
  </w:style>
  <w:style w:type="paragraph" w:styleId="924">
    <w:name w:val="Оглавление 5"/>
    <w:basedOn w:val="907"/>
    <w:next w:val="907"/>
    <w:link w:val="907"/>
    <w:semiHidden/>
    <w:pPr>
      <w:ind w:left="960"/>
    </w:pPr>
    <w:rPr>
      <w:sz w:val="20"/>
      <w:szCs w:val="20"/>
    </w:rPr>
  </w:style>
  <w:style w:type="paragraph" w:styleId="925">
    <w:name w:val="Оглавление 6"/>
    <w:basedOn w:val="907"/>
    <w:next w:val="907"/>
    <w:link w:val="907"/>
    <w:semiHidden/>
    <w:pPr>
      <w:ind w:left="1200"/>
    </w:pPr>
    <w:rPr>
      <w:sz w:val="20"/>
      <w:szCs w:val="20"/>
    </w:rPr>
  </w:style>
  <w:style w:type="paragraph" w:styleId="926">
    <w:name w:val="Оглавление 7"/>
    <w:basedOn w:val="907"/>
    <w:next w:val="907"/>
    <w:link w:val="907"/>
    <w:semiHidden/>
    <w:pPr>
      <w:ind w:left="1440"/>
    </w:pPr>
    <w:rPr>
      <w:sz w:val="20"/>
      <w:szCs w:val="20"/>
    </w:rPr>
  </w:style>
  <w:style w:type="paragraph" w:styleId="927">
    <w:name w:val="Оглавление 8"/>
    <w:basedOn w:val="907"/>
    <w:next w:val="907"/>
    <w:link w:val="907"/>
    <w:semiHidden/>
    <w:pPr>
      <w:ind w:left="1680"/>
    </w:pPr>
    <w:rPr>
      <w:sz w:val="20"/>
      <w:szCs w:val="20"/>
    </w:rPr>
  </w:style>
  <w:style w:type="paragraph" w:styleId="928">
    <w:name w:val="Оглавление 9"/>
    <w:basedOn w:val="907"/>
    <w:next w:val="907"/>
    <w:link w:val="907"/>
    <w:semiHidden/>
    <w:pPr>
      <w:ind w:left="1920"/>
    </w:pPr>
    <w:rPr>
      <w:sz w:val="20"/>
      <w:szCs w:val="20"/>
    </w:rPr>
  </w:style>
  <w:style w:type="character" w:styleId="929">
    <w:name w:val="Гиперссылка"/>
    <w:next w:val="929"/>
    <w:link w:val="907"/>
    <w:rPr>
      <w:color w:val="0000ff"/>
      <w:u w:val="single"/>
    </w:rPr>
  </w:style>
  <w:style w:type="paragraph" w:styleId="930">
    <w:name w:val="Основной текст с отступом 2"/>
    <w:basedOn w:val="907"/>
    <w:next w:val="930"/>
    <w:link w:val="907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931">
    <w:name w:val="Обычный + Первая строка:  1,03 см"/>
    <w:basedOn w:val="907"/>
    <w:next w:val="931"/>
    <w:link w:val="907"/>
    <w:pPr>
      <w:ind w:left="-22" w:firstLine="594"/>
      <w:jc w:val="both"/>
    </w:pPr>
  </w:style>
  <w:style w:type="paragraph" w:styleId="932">
    <w:name w:val="ТекстОбычный"/>
    <w:next w:val="932"/>
    <w:link w:val="907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933">
    <w:name w:val="Основной текст с отступом"/>
    <w:basedOn w:val="907"/>
    <w:next w:val="933"/>
    <w:link w:val="907"/>
    <w:pPr>
      <w:ind w:left="283"/>
      <w:spacing w:after="120"/>
    </w:pPr>
  </w:style>
  <w:style w:type="paragraph" w:styleId="934">
    <w:name w:val="Основной текст с отступом + По ширине,Первая строка:  0 см,Слева:  0 см"/>
    <w:basedOn w:val="933"/>
    <w:next w:val="934"/>
    <w:link w:val="907"/>
    <w:pPr>
      <w:ind w:left="0" w:firstLine="572"/>
      <w:jc w:val="both"/>
    </w:pPr>
  </w:style>
  <w:style w:type="paragraph" w:styleId="935">
    <w:name w:val="Нижний колонтитул"/>
    <w:basedOn w:val="907"/>
    <w:next w:val="935"/>
    <w:link w:val="907"/>
    <w:pPr>
      <w:tabs>
        <w:tab w:val="center" w:pos="4677" w:leader="none"/>
        <w:tab w:val="right" w:pos="9355" w:leader="none"/>
      </w:tabs>
    </w:pPr>
  </w:style>
  <w:style w:type="character" w:styleId="936">
    <w:name w:val="Номер страницы"/>
    <w:basedOn w:val="917"/>
    <w:next w:val="936"/>
    <w:link w:val="907"/>
  </w:style>
  <w:style w:type="paragraph" w:styleId="937">
    <w:name w:val="Основной текст"/>
    <w:basedOn w:val="907"/>
    <w:next w:val="937"/>
    <w:link w:val="907"/>
    <w:pPr>
      <w:spacing w:after="120"/>
    </w:pPr>
  </w:style>
  <w:style w:type="paragraph" w:styleId="938">
    <w:name w:val="Основной текст 2"/>
    <w:basedOn w:val="907"/>
    <w:next w:val="938"/>
    <w:link w:val="907"/>
    <w:pPr>
      <w:spacing w:after="120" w:line="480" w:lineRule="auto"/>
    </w:pPr>
  </w:style>
  <w:style w:type="paragraph" w:styleId="939">
    <w:name w:val="М_списокКрСтрока"/>
    <w:basedOn w:val="907"/>
    <w:next w:val="939"/>
    <w:link w:val="907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940">
    <w:name w:val="Н_Список0"/>
    <w:basedOn w:val="932"/>
    <w:next w:val="940"/>
    <w:link w:val="907"/>
    <w:pPr>
      <w:numPr>
        <w:ilvl w:val="11"/>
        <w:numId w:val="0"/>
      </w:numPr>
      <w:ind w:firstLine="0"/>
    </w:pPr>
  </w:style>
  <w:style w:type="paragraph" w:styleId="941">
    <w:name w:val="Основной текст с отступом 3"/>
    <w:basedOn w:val="907"/>
    <w:next w:val="941"/>
    <w:link w:val="907"/>
    <w:pPr>
      <w:ind w:left="283"/>
      <w:spacing w:after="120"/>
    </w:pPr>
    <w:rPr>
      <w:sz w:val="16"/>
      <w:szCs w:val="16"/>
    </w:rPr>
  </w:style>
  <w:style w:type="paragraph" w:styleId="942">
    <w:name w:val="Текст выноски"/>
    <w:basedOn w:val="907"/>
    <w:next w:val="942"/>
    <w:link w:val="907"/>
    <w:semiHidden/>
    <w:rPr>
      <w:rFonts w:ascii="Tahoma" w:hAnsi="Tahoma" w:cs="Tahoma"/>
      <w:sz w:val="16"/>
      <w:szCs w:val="16"/>
    </w:rPr>
  </w:style>
  <w:style w:type="paragraph" w:styleId="943">
    <w:name w:val="М_Список1.5"/>
    <w:basedOn w:val="907"/>
    <w:next w:val="943"/>
    <w:link w:val="907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944">
    <w:name w:val="Верхний колонтитул"/>
    <w:basedOn w:val="907"/>
    <w:next w:val="944"/>
    <w:link w:val="961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945">
    <w:name w:val="Обычный (веб)"/>
    <w:basedOn w:val="907"/>
    <w:next w:val="945"/>
    <w:link w:val="907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946">
    <w:name w:val="Сетка таблицы"/>
    <w:basedOn w:val="918"/>
    <w:next w:val="946"/>
    <w:link w:val="907"/>
    <w:tblPr/>
  </w:style>
  <w:style w:type="paragraph" w:styleId="947">
    <w:name w:val="Заголовок"/>
    <w:next w:val="937"/>
    <w:link w:val="907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948">
    <w:name w:val="Обычный 1"/>
    <w:basedOn w:val="907"/>
    <w:next w:val="948"/>
    <w:link w:val="907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949">
    <w:name w:val="Обычный 1 Знак"/>
    <w:next w:val="949"/>
    <w:link w:val="907"/>
    <w:rPr>
      <w:rFonts w:ascii="Arial" w:hAnsi="Arial"/>
      <w:b/>
      <w:bCs/>
      <w:sz w:val="22"/>
      <w:lang w:val="en-US" w:eastAsia="ru-RU" w:bidi="ar-SA"/>
    </w:rPr>
  </w:style>
  <w:style w:type="character" w:styleId="950">
    <w:name w:val="Просмотренная гиперссылка"/>
    <w:next w:val="950"/>
    <w:link w:val="907"/>
    <w:rPr>
      <w:color w:val="800080"/>
      <w:u w:val="single"/>
    </w:rPr>
  </w:style>
  <w:style w:type="paragraph" w:styleId="951">
    <w:name w:val="Обычный + полужирный,По ширине"/>
    <w:basedOn w:val="909"/>
    <w:next w:val="951"/>
    <w:link w:val="907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952">
    <w:name w:val="Указатель 1"/>
    <w:basedOn w:val="907"/>
    <w:next w:val="907"/>
    <w:link w:val="907"/>
    <w:semiHidden/>
    <w:pPr>
      <w:ind w:left="240" w:hanging="240"/>
    </w:pPr>
  </w:style>
  <w:style w:type="paragraph" w:styleId="953">
    <w:name w:val="Указатель"/>
    <w:basedOn w:val="907"/>
    <w:next w:val="952"/>
    <w:link w:val="907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954">
    <w:name w:val="Название объекта"/>
    <w:basedOn w:val="907"/>
    <w:next w:val="907"/>
    <w:link w:val="907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955">
    <w:name w:val="Нумерованный список"/>
    <w:basedOn w:val="907"/>
    <w:next w:val="955"/>
    <w:link w:val="907"/>
    <w:pPr>
      <w:numPr>
        <w:ilvl w:val="0"/>
        <w:numId w:val="1"/>
      </w:numPr>
    </w:pPr>
  </w:style>
  <w:style w:type="character" w:styleId="956">
    <w:name w:val="комментарий"/>
    <w:next w:val="956"/>
    <w:link w:val="907"/>
    <w:rPr>
      <w:b/>
      <w:bCs/>
      <w:i/>
      <w:iCs/>
      <w:sz w:val="28"/>
    </w:rPr>
  </w:style>
  <w:style w:type="paragraph" w:styleId="957">
    <w:name w:val="Схема документа"/>
    <w:basedOn w:val="907"/>
    <w:next w:val="957"/>
    <w:link w:val="907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58">
    <w:name w:val="Абзац списка,Подпись рисунка,Заголовок_3,Абзац списка5,ПКФ Список,главный абзац,SL_Абзац списка,Bullet List,FooterText,numbered,Paragraphe de liste1,lp1,Ненумерованный список,it_List1,Абзац списка литеральный,Нумерованый список,4.2.2"/>
    <w:basedOn w:val="907"/>
    <w:next w:val="958"/>
    <w:link w:val="978"/>
    <w:uiPriority w:val="99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959">
    <w:name w:val=".EDA_PARAGRAPH"/>
    <w:next w:val="959"/>
    <w:link w:val="907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960">
    <w:name w:val=".MSONORMAL"/>
    <w:next w:val="960"/>
    <w:link w:val="907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961">
    <w:name w:val="Верхний колонтитул Знак"/>
    <w:next w:val="961"/>
    <w:link w:val="944"/>
    <w:uiPriority w:val="99"/>
    <w:rPr>
      <w:sz w:val="22"/>
    </w:rPr>
  </w:style>
  <w:style w:type="paragraph" w:styleId="962">
    <w:name w:val="МРСК_таблица_заголовок"/>
    <w:basedOn w:val="907"/>
    <w:next w:val="962"/>
    <w:link w:val="907"/>
    <w:pPr>
      <w:jc w:val="center"/>
      <w:keepNext/>
    </w:pPr>
    <w:rPr>
      <w:sz w:val="20"/>
      <w:szCs w:val="20"/>
    </w:rPr>
  </w:style>
  <w:style w:type="paragraph" w:styleId="963">
    <w:name w:val="МРСК_таблица_текст"/>
    <w:basedOn w:val="962"/>
    <w:next w:val="963"/>
    <w:link w:val="907"/>
    <w:pPr>
      <w:jc w:val="both"/>
    </w:pPr>
  </w:style>
  <w:style w:type="paragraph" w:styleId="964">
    <w:name w:val="МРСК_шрифт_абзаца"/>
    <w:basedOn w:val="907"/>
    <w:next w:val="964"/>
    <w:link w:val="965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965">
    <w:name w:val="МРСК_шрифт_абзаца Знак"/>
    <w:next w:val="965"/>
    <w:link w:val="964"/>
    <w:rPr>
      <w:sz w:val="24"/>
      <w:szCs w:val="24"/>
      <w:lang w:val="en-US" w:eastAsia="en-US"/>
    </w:rPr>
  </w:style>
  <w:style w:type="paragraph" w:styleId="966">
    <w:name w:val=".MSONORMALCXSPMIDDLE"/>
    <w:next w:val="966"/>
    <w:link w:val="907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967">
    <w:name w:val="Без интервала"/>
    <w:next w:val="967"/>
    <w:link w:val="968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968">
    <w:name w:val="Без интервала Знак"/>
    <w:next w:val="968"/>
    <w:link w:val="967"/>
    <w:uiPriority w:val="1"/>
    <w:rPr>
      <w:rFonts w:ascii="Calibri" w:hAnsi="Calibri"/>
      <w:sz w:val="22"/>
      <w:szCs w:val="22"/>
      <w:lang w:eastAsia="en-US"/>
    </w:rPr>
  </w:style>
  <w:style w:type="character" w:styleId="969">
    <w:name w:val="Знак примечания"/>
    <w:next w:val="969"/>
    <w:link w:val="907"/>
    <w:rPr>
      <w:sz w:val="16"/>
      <w:szCs w:val="16"/>
    </w:rPr>
  </w:style>
  <w:style w:type="paragraph" w:styleId="970">
    <w:name w:val="Текст примечания"/>
    <w:basedOn w:val="907"/>
    <w:next w:val="970"/>
    <w:link w:val="971"/>
    <w:rPr>
      <w:sz w:val="20"/>
      <w:szCs w:val="20"/>
    </w:rPr>
  </w:style>
  <w:style w:type="character" w:styleId="971">
    <w:name w:val="Текст примечания Знак"/>
    <w:basedOn w:val="917"/>
    <w:next w:val="971"/>
    <w:link w:val="970"/>
  </w:style>
  <w:style w:type="paragraph" w:styleId="972">
    <w:name w:val="Тема примечания"/>
    <w:basedOn w:val="970"/>
    <w:next w:val="970"/>
    <w:link w:val="973"/>
    <w:rPr>
      <w:b/>
      <w:bCs/>
    </w:rPr>
  </w:style>
  <w:style w:type="character" w:styleId="973">
    <w:name w:val="Тема примечания Знак"/>
    <w:next w:val="973"/>
    <w:link w:val="972"/>
    <w:rPr>
      <w:b/>
      <w:bCs/>
    </w:rPr>
  </w:style>
  <w:style w:type="paragraph" w:styleId="974">
    <w:name w:val="Рецензия"/>
    <w:next w:val="974"/>
    <w:link w:val="907"/>
    <w:hidden/>
    <w:uiPriority w:val="99"/>
    <w:semiHidden/>
    <w:rPr>
      <w:sz w:val="24"/>
      <w:szCs w:val="24"/>
      <w:lang w:val="ru-RU" w:eastAsia="ru-RU" w:bidi="ar-SA"/>
    </w:rPr>
  </w:style>
  <w:style w:type="paragraph" w:styleId="975">
    <w:name w:val="МРСК_нумерованный_список"/>
    <w:basedOn w:val="955"/>
    <w:next w:val="975"/>
    <w:link w:val="976"/>
    <w:pPr>
      <w:numPr>
        <w:ilvl w:val="0"/>
        <w:numId w:val="0"/>
      </w:numPr>
      <w:jc w:val="both"/>
      <w:keepNext/>
      <w:spacing w:line="300" w:lineRule="auto"/>
    </w:pPr>
    <w:rPr>
      <w:lang w:val="en-US" w:eastAsia="en-US"/>
    </w:rPr>
  </w:style>
  <w:style w:type="character" w:styleId="976">
    <w:name w:val="МРСК_нумерованный_список Знак"/>
    <w:next w:val="976"/>
    <w:link w:val="975"/>
    <w:rPr>
      <w:sz w:val="24"/>
      <w:szCs w:val="24"/>
      <w:lang w:val="en-US" w:eastAsia="en-US"/>
    </w:rPr>
  </w:style>
  <w:style w:type="paragraph" w:styleId="977">
    <w:name w:val="МРСК_маркированный"/>
    <w:basedOn w:val="979"/>
    <w:next w:val="977"/>
    <w:link w:val="907"/>
    <w:pPr>
      <w:contextualSpacing w:val="0"/>
      <w:ind w:left="420" w:hanging="420"/>
      <w:jc w:val="both"/>
      <w:keepNext/>
      <w:spacing w:line="300" w:lineRule="auto"/>
      <w:tabs>
        <w:tab w:val="clear" w:pos="360" w:leader="none"/>
      </w:tabs>
    </w:pPr>
  </w:style>
  <w:style w:type="character" w:styleId="978">
    <w:name w:val="Абзац списка Знак,Подпись рисунка Знак,Заголовок_3 Знак,Абзац списка5 Знак,ПКФ Список Знак,List Paragraph Знак,главный абзац Знак,SL_Абзац списка Знак,Bullet List Знак,FooterText Знак,numbered Знак,Paragraphe de liste1 Знак,lp1 Знак,it_List1 Знак"/>
    <w:next w:val="978"/>
    <w:link w:val="958"/>
    <w:uiPriority w:val="99"/>
    <w:rPr>
      <w:rFonts w:ascii="Calibri" w:hAnsi="Calibri" w:eastAsia="Calibri"/>
      <w:sz w:val="22"/>
      <w:szCs w:val="22"/>
      <w:lang w:eastAsia="en-US"/>
    </w:rPr>
  </w:style>
  <w:style w:type="paragraph" w:styleId="979">
    <w:name w:val="Маркированный список"/>
    <w:basedOn w:val="907"/>
    <w:next w:val="979"/>
    <w:link w:val="907"/>
    <w:pPr>
      <w:numPr>
        <w:ilvl w:val="0"/>
        <w:numId w:val="6"/>
      </w:numPr>
      <w:contextualSpacing/>
    </w:pPr>
  </w:style>
  <w:style w:type="character" w:styleId="980" w:default="1">
    <w:name w:val="Default Paragraph Font"/>
    <w:uiPriority w:val="1"/>
    <w:semiHidden/>
    <w:unhideWhenUsed/>
  </w:style>
  <w:style w:type="numbering" w:styleId="981" w:default="1">
    <w:name w:val="No List"/>
    <w:uiPriority w:val="99"/>
    <w:semiHidden/>
    <w:unhideWhenUsed/>
  </w:style>
  <w:style w:type="table" w:styleId="98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Relationship Id="rId15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lastModifiedBy>Shpakova_IV</cp:lastModifiedBy>
  <cp:revision>7</cp:revision>
  <dcterms:created xsi:type="dcterms:W3CDTF">2023-09-08T07:16:00Z</dcterms:created>
  <dcterms:modified xsi:type="dcterms:W3CDTF">2026-01-26T04:17:58Z</dcterms:modified>
  <cp:version>1048576</cp:version>
</cp:coreProperties>
</file>